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183A8" w14:textId="77777777" w:rsidR="00C23C65" w:rsidRDefault="008C4ABF">
      <w:pPr>
        <w:pStyle w:val="Heading1"/>
        <w:spacing w:before="100" w:after="200"/>
        <w:jc w:val="center"/>
      </w:pPr>
      <w:r>
        <w:rPr>
          <w:rFonts w:ascii="Aptos" w:eastAsia="Aptos" w:hAnsi="Aptos"/>
          <w:color w:val="6F1E6C"/>
          <w:sz w:val="34"/>
        </w:rPr>
        <w:t>Staff Disciplinary Policy</w:t>
      </w:r>
    </w:p>
    <w:p w14:paraId="176494A8" w14:textId="77777777" w:rsidR="00C23C65" w:rsidRDefault="00C23C65">
      <w:pPr>
        <w:spacing w:after="40"/>
      </w:pPr>
    </w:p>
    <w:p w14:paraId="08A7B598" w14:textId="77777777" w:rsidR="00C23C65" w:rsidRDefault="008C4ABF">
      <w:pPr>
        <w:pStyle w:val="Heading2"/>
        <w:spacing w:before="140" w:after="60"/>
      </w:pPr>
      <w:r>
        <w:rPr>
          <w:rFonts w:ascii="Aptos" w:eastAsia="Aptos" w:hAnsi="Aptos"/>
          <w:color w:val="92278F"/>
          <w:sz w:val="23"/>
        </w:rPr>
        <w:t>1. Purpose</w:t>
      </w:r>
    </w:p>
    <w:p w14:paraId="24EE436A" w14:textId="77777777" w:rsidR="00C23C65" w:rsidRDefault="008C4ABF">
      <w:pPr>
        <w:keepLines/>
        <w:spacing w:after="70"/>
      </w:pPr>
      <w:r>
        <w:t>This policy provides a fair and consistent process for addressing employee misconduct and gross misconduct, in line with the ACAS Code of Practice and employment law.</w:t>
      </w:r>
    </w:p>
    <w:p w14:paraId="639D0003" w14:textId="77777777" w:rsidR="00C23C65" w:rsidRDefault="008C4ABF">
      <w:pPr>
        <w:pStyle w:val="Heading2"/>
        <w:keepNext w:val="0"/>
        <w:spacing w:before="20" w:after="40"/>
      </w:pPr>
      <w:r>
        <w:rPr>
          <w:rFonts w:ascii="Aptos" w:eastAsia="Aptos" w:hAnsi="Aptos"/>
          <w:b w:val="0"/>
          <w:color w:val="333333"/>
          <w:sz w:val="20"/>
        </w:rPr>
        <w:t>2. Informal Action</w:t>
      </w:r>
    </w:p>
    <w:p w14:paraId="1916705F" w14:textId="77777777" w:rsidR="00C23C65" w:rsidRDefault="008C4ABF">
      <w:pPr>
        <w:keepLines/>
        <w:spacing w:after="70"/>
      </w:pPr>
      <w:r>
        <w:t>Minor conduct issues may be addressed informally by the Headteacher or appropriate manager through clarification, support and agreed expectations. Informal action is not appropriate where the allegation is serious.</w:t>
      </w:r>
    </w:p>
    <w:p w14:paraId="0CE1BAF7" w14:textId="77777777" w:rsidR="00C23C65" w:rsidRDefault="008C4ABF">
      <w:pPr>
        <w:pStyle w:val="Heading2"/>
        <w:spacing w:before="140" w:after="60"/>
      </w:pPr>
      <w:r>
        <w:rPr>
          <w:rFonts w:ascii="Aptos" w:eastAsia="Aptos" w:hAnsi="Aptos"/>
          <w:color w:val="92278F"/>
          <w:sz w:val="23"/>
        </w:rPr>
        <w:t>3. Formal Investigation</w:t>
      </w:r>
    </w:p>
    <w:p w14:paraId="4ACE5006" w14:textId="77777777" w:rsidR="00C23C65" w:rsidRDefault="008C4ABF">
      <w:pPr>
        <w:keepLines/>
        <w:spacing w:after="70"/>
      </w:pPr>
      <w:r>
        <w:t>Where formal action may be required, the employee is informed of the allegation and an appropriate investigation is completed by the Headteacher, Managing Director or another suitable investigator. External HR may be appointed, particularly where independence or specialist advice is required.</w:t>
      </w:r>
    </w:p>
    <w:p w14:paraId="67E0DC28" w14:textId="77777777" w:rsidR="00C23C65" w:rsidRDefault="008C4ABF">
      <w:pPr>
        <w:pStyle w:val="Heading2"/>
        <w:spacing w:before="140" w:after="60"/>
      </w:pPr>
      <w:r>
        <w:rPr>
          <w:rFonts w:ascii="Aptos" w:eastAsia="Aptos" w:hAnsi="Aptos"/>
          <w:color w:val="92278F"/>
          <w:sz w:val="23"/>
        </w:rPr>
        <w:t>4. Suspension</w:t>
      </w:r>
    </w:p>
    <w:p w14:paraId="386ACC8A" w14:textId="77777777" w:rsidR="00C23C65" w:rsidRDefault="008C4ABF">
      <w:pPr>
        <w:keepLines/>
        <w:spacing w:after="70"/>
      </w:pPr>
      <w:r>
        <w:t>Suspension is not an automatic sanction and does not imply guilt. Irvine Turner, Managing Director, has authority to suspend where this is reasonable and necessary, including to protect pupils, staff, evidence or the integrity of an investigation. Alternatives are considered where appropriate.</w:t>
      </w:r>
    </w:p>
    <w:p w14:paraId="74359416" w14:textId="77777777" w:rsidR="00C23C65" w:rsidRDefault="008C4ABF">
      <w:pPr>
        <w:pStyle w:val="Heading2"/>
        <w:spacing w:before="140" w:after="60"/>
      </w:pPr>
      <w:r>
        <w:rPr>
          <w:rFonts w:ascii="Aptos" w:eastAsia="Aptos" w:hAnsi="Aptos"/>
          <w:color w:val="92278F"/>
          <w:sz w:val="23"/>
        </w:rPr>
        <w:t>5. Safeguarding Allegations</w:t>
      </w:r>
    </w:p>
    <w:p w14:paraId="467EF48C" w14:textId="77777777" w:rsidR="00C23C65" w:rsidRDefault="008C4ABF">
      <w:pPr>
        <w:keepLines/>
        <w:spacing w:after="70"/>
      </w:pPr>
      <w:r>
        <w:t>Safeguarding allegations are managed first under KCSIE 2026 and the Child Protection and Safeguarding Policy, including LADO consultation where required. Internal disciplinary investigation will not compromise police, social care or LADO processes.</w:t>
      </w:r>
    </w:p>
    <w:p w14:paraId="0F786FB6" w14:textId="77777777" w:rsidR="00C23C65" w:rsidRDefault="008C4ABF">
      <w:pPr>
        <w:pStyle w:val="Heading2"/>
        <w:spacing w:before="140" w:after="60"/>
      </w:pPr>
      <w:r>
        <w:rPr>
          <w:rFonts w:ascii="Aptos" w:eastAsia="Aptos" w:hAnsi="Aptos"/>
          <w:color w:val="92278F"/>
          <w:sz w:val="23"/>
        </w:rPr>
        <w:t>6. Disciplinary Hearing</w:t>
      </w:r>
    </w:p>
    <w:p w14:paraId="1A624C39" w14:textId="77777777" w:rsidR="00C23C65" w:rsidRDefault="008C4ABF">
      <w:pPr>
        <w:keepLines/>
        <w:spacing w:after="70"/>
      </w:pPr>
      <w:r>
        <w:t>Where there is a case to answer, the employee receives reasonable written notice, details of the allegations and evidence, possible outcomes and the right to be accompanied by a work colleague or trade union representative. The employee may respond, present evidence and ask relevant questions.</w:t>
      </w:r>
    </w:p>
    <w:p w14:paraId="4812D589" w14:textId="77777777" w:rsidR="00C23C65" w:rsidRDefault="008C4ABF">
      <w:pPr>
        <w:pStyle w:val="Heading2"/>
        <w:spacing w:before="140" w:after="60"/>
      </w:pPr>
      <w:r>
        <w:rPr>
          <w:rFonts w:ascii="Aptos" w:eastAsia="Aptos" w:hAnsi="Aptos"/>
          <w:color w:val="92278F"/>
          <w:sz w:val="23"/>
        </w:rPr>
        <w:t>7. Outcomes</w:t>
      </w:r>
    </w:p>
    <w:p w14:paraId="1596D6C4" w14:textId="77777777" w:rsidR="00C23C65" w:rsidRDefault="008C4ABF">
      <w:pPr>
        <w:keepLines/>
        <w:spacing w:after="70"/>
        <w:ind w:left="259" w:hanging="173"/>
      </w:pPr>
      <w:r>
        <w:t>• No action</w:t>
      </w:r>
    </w:p>
    <w:p w14:paraId="56B9E98E" w14:textId="77777777" w:rsidR="00C23C65" w:rsidRDefault="008C4ABF">
      <w:pPr>
        <w:keepLines/>
        <w:spacing w:after="70"/>
        <w:ind w:left="259" w:hanging="173"/>
      </w:pPr>
      <w:r>
        <w:t>• Informal management action or support</w:t>
      </w:r>
    </w:p>
    <w:p w14:paraId="3541C9F3" w14:textId="77777777" w:rsidR="00C23C65" w:rsidRDefault="008C4ABF">
      <w:pPr>
        <w:keepLines/>
        <w:spacing w:after="70"/>
        <w:ind w:left="259" w:hanging="173"/>
      </w:pPr>
      <w:r>
        <w:t>• First written warning</w:t>
      </w:r>
    </w:p>
    <w:p w14:paraId="37ED2F31" w14:textId="77777777" w:rsidR="00C23C65" w:rsidRDefault="008C4ABF">
      <w:pPr>
        <w:keepLines/>
        <w:spacing w:after="70"/>
        <w:ind w:left="259" w:hanging="173"/>
      </w:pPr>
      <w:r>
        <w:t>• Final written warning</w:t>
      </w:r>
    </w:p>
    <w:p w14:paraId="21384252" w14:textId="77777777" w:rsidR="00C23C65" w:rsidRDefault="008C4ABF">
      <w:pPr>
        <w:keepLines/>
        <w:spacing w:after="70"/>
        <w:ind w:left="259" w:hanging="173"/>
      </w:pPr>
      <w:r>
        <w:t>• Dismissal with notice</w:t>
      </w:r>
    </w:p>
    <w:p w14:paraId="0654FD43" w14:textId="77777777" w:rsidR="00C23C65" w:rsidRDefault="008C4ABF">
      <w:pPr>
        <w:keepLines/>
        <w:spacing w:after="70"/>
        <w:ind w:left="259" w:hanging="173"/>
      </w:pPr>
      <w:r>
        <w:t>• Summary dismissal for gross misconduct where justified</w:t>
      </w:r>
    </w:p>
    <w:p w14:paraId="0584B308" w14:textId="77777777" w:rsidR="00C23C65" w:rsidRDefault="008C4ABF">
      <w:pPr>
        <w:keepLines/>
        <w:spacing w:after="70"/>
      </w:pPr>
      <w:r>
        <w:t>Warnings will state the required improvement, review period and consequences of further misconduct. Irvine Turner, Managing Director, has authority to dismiss.</w:t>
      </w:r>
    </w:p>
    <w:p w14:paraId="4ED4FC84" w14:textId="77777777" w:rsidR="00C23C65" w:rsidRDefault="008C4ABF">
      <w:pPr>
        <w:pStyle w:val="Heading2"/>
        <w:spacing w:before="140" w:after="60"/>
      </w:pPr>
      <w:r>
        <w:rPr>
          <w:rFonts w:ascii="Aptos" w:eastAsia="Aptos" w:hAnsi="Aptos"/>
          <w:color w:val="92278F"/>
          <w:sz w:val="23"/>
        </w:rPr>
        <w:t>8. Appeals</w:t>
      </w:r>
    </w:p>
    <w:p w14:paraId="5BE84026" w14:textId="77777777" w:rsidR="00C23C65" w:rsidRDefault="008C4ABF">
      <w:pPr>
        <w:keepLines/>
        <w:spacing w:after="70"/>
      </w:pPr>
      <w:r>
        <w:t>An employee may appeal in writing within the stated timescale. The appeal will be heard by a person or panel not previously responsible for the decision, with Mario Di Clemente and/or independent HR involved where this provides appropriate independence.</w:t>
      </w:r>
    </w:p>
    <w:p w14:paraId="77F1D6BB" w14:textId="77777777" w:rsidR="00C23C65" w:rsidRDefault="008C4ABF">
      <w:pPr>
        <w:pStyle w:val="Heading2"/>
        <w:keepNext w:val="0"/>
        <w:spacing w:before="20" w:after="40"/>
      </w:pPr>
      <w:r>
        <w:rPr>
          <w:rFonts w:ascii="Aptos" w:eastAsia="Aptos" w:hAnsi="Aptos"/>
          <w:b w:val="0"/>
          <w:color w:val="333333"/>
          <w:sz w:val="20"/>
        </w:rPr>
        <w:t>9. Records and Referrals</w:t>
      </w:r>
    </w:p>
    <w:p w14:paraId="13C7B77A" w14:textId="77777777" w:rsidR="00C23C65" w:rsidRDefault="008C4ABF">
      <w:pPr>
        <w:keepLines/>
        <w:spacing w:after="70"/>
      </w:pPr>
      <w:r>
        <w:t>Records are retained securely. Where required, the school makes referrals to the Disclosure and Barring Service and/or Teaching Regulation Agency (TRA) in accordance with the applicable statutory duties and guidance.</w:t>
      </w:r>
    </w:p>
    <w:p w14:paraId="6FD67A64" w14:textId="77777777" w:rsidR="00C23C65" w:rsidRDefault="008C4ABF">
      <w:pPr>
        <w:pStyle w:val="Heading2"/>
        <w:spacing w:before="140" w:after="60"/>
      </w:pPr>
      <w:r>
        <w:rPr>
          <w:rFonts w:ascii="Aptos" w:eastAsia="Aptos" w:hAnsi="Aptos"/>
          <w:color w:val="92278F"/>
          <w:sz w:val="23"/>
        </w:rPr>
        <w:t>10. Capability</w:t>
      </w:r>
    </w:p>
    <w:p w14:paraId="12223B94" w14:textId="77777777" w:rsidR="00C23C65" w:rsidRDefault="008C4ABF">
      <w:pPr>
        <w:keepLines/>
        <w:spacing w:after="70"/>
      </w:pPr>
      <w:r>
        <w:t>Capability or performance concerns are normally managed separately from misconduct. Where no standalone capability policy applies, the school will use a fair documented improvement process with appropriate advice and opportunity to improve.</w:t>
      </w:r>
    </w:p>
    <w:p w14:paraId="465449F3" w14:textId="77777777" w:rsidR="00C23C65" w:rsidRDefault="00C23C65">
      <w:pPr>
        <w:spacing w:before="120"/>
      </w:pP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2AA5B70F" w14:textId="77777777" w:rsidR="00C23C65" w:rsidRDefault="00C23C65">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326C94BD" w14:textId="77777777" w:rsidR="00C23C65" w:rsidRDefault="008C4ABF">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0A92EBC8" w14:textId="77777777" w:rsidR="00C23C65" w:rsidRDefault="008C4ABF">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416C1852" w14:textId="77777777" w:rsidR="00C23C65" w:rsidRDefault="008C4ABF">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6AEDD242" w14:textId="77777777" w:rsidR="00C23C65" w:rsidRDefault="008C4ABF">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40A83153" w14:textId="77777777" w:rsidR="00C23C65" w:rsidRDefault="008C4ABF">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0F792708" w14:textId="77777777" w:rsidR="00C23C65" w:rsidRDefault="008C4ABF">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35DB0445" w14:textId="77777777" w:rsidR="00C23C65" w:rsidRDefault="00C23C65">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2E3FA4E8" w14:textId="77777777" w:rsidR="00C23C65" w:rsidRDefault="00C23C65">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5AA629F4" w14:textId="77777777" w:rsidR="00C23C65" w:rsidRDefault="008C4ABF">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33A44F08" w14:textId="77777777" w:rsidR="00C23C65" w:rsidRDefault="00C23C65">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4178B422" w14:textId="77777777" w:rsidR="00C23C65" w:rsidRDefault="008C4ABF">
            <w:pPr>
              <w:keepLines/>
              <w:spacing w:after="0"/>
            </w:pPr>
            <w:r>
              <w:rPr>
                <w:sz w:val="19"/>
              </w:rPr>
              <w:t>September 2027</w:t>
            </w:r>
          </w:p>
        </w:tc>
      </w:tr>
    </w:tbl>
    <w:p w14:paraId="118A4EDD" w14:textId="77777777" w:rsidR="008C4ABF" w:rsidRDefault="008C4ABF"/>
    <w:sectPr w:rsidR="008C4ABF">
      <w:headerReference w:type="default" r:id="rId10"/>
      <w:footerReference w:type="default" r:id="rId11"/>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93848" w14:textId="77777777" w:rsidR="008C4ABF" w:rsidRDefault="008C4ABF" w:rsidP="00CF0C48">
      <w:pPr>
        <w:spacing w:after="0" w:line="240" w:lineRule="auto"/>
      </w:pPr>
      <w:r>
        <w:separator/>
      </w:r>
    </w:p>
  </w:endnote>
  <w:endnote w:type="continuationSeparator" w:id="0">
    <w:p w14:paraId="3B92C139" w14:textId="77777777" w:rsidR="008C4ABF" w:rsidRDefault="008C4ABF" w:rsidP="00CF0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18843" w14:textId="77777777" w:rsidR="00C23C65" w:rsidRDefault="00C23C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813CC" w14:textId="77777777" w:rsidR="008C4ABF" w:rsidRDefault="008C4ABF" w:rsidP="00CF0C48">
      <w:pPr>
        <w:spacing w:after="0" w:line="240" w:lineRule="auto"/>
      </w:pPr>
      <w:r>
        <w:separator/>
      </w:r>
    </w:p>
  </w:footnote>
  <w:footnote w:type="continuationSeparator" w:id="0">
    <w:p w14:paraId="5D4A2C49" w14:textId="77777777" w:rsidR="008C4ABF" w:rsidRDefault="008C4ABF" w:rsidP="00CF0C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42FDC" w14:textId="46AB2998" w:rsidR="00CF0C48" w:rsidRDefault="00CF0C48">
    <w:pPr>
      <w:pStyle w:val="Header"/>
      <w:pBdr>
        <w:bottom w:val="single" w:sz="10" w:space="3" w:color="92278F"/>
      </w:pBdr>
      <w:spacing w:after="40"/>
    </w:pPr>
    <w:r>
      <w:rPr>
        <w:noProof/>
      </w:rPr>
      <w:drawing>
        <wp:inline distT="0" distB="0" distL="0" distR="0" wp14:anchorId="16BD0F97" wp14:editId="6E0BE1EE">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4E0F"/>
    <w:multiLevelType w:val="multilevel"/>
    <w:tmpl w:val="CE320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D6C9C"/>
    <w:multiLevelType w:val="multilevel"/>
    <w:tmpl w:val="BFFCA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861D2B"/>
    <w:multiLevelType w:val="multilevel"/>
    <w:tmpl w:val="57EED5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E62821"/>
    <w:multiLevelType w:val="multilevel"/>
    <w:tmpl w:val="7B68E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024E63"/>
    <w:multiLevelType w:val="multilevel"/>
    <w:tmpl w:val="04881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55600E"/>
    <w:multiLevelType w:val="multilevel"/>
    <w:tmpl w:val="8D3A5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051B36"/>
    <w:multiLevelType w:val="multilevel"/>
    <w:tmpl w:val="345A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261D4A"/>
    <w:multiLevelType w:val="multilevel"/>
    <w:tmpl w:val="B1BCF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2C238E"/>
    <w:multiLevelType w:val="multilevel"/>
    <w:tmpl w:val="884EB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22538F"/>
    <w:multiLevelType w:val="multilevel"/>
    <w:tmpl w:val="C046E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B02226"/>
    <w:multiLevelType w:val="multilevel"/>
    <w:tmpl w:val="6C7E8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537B88"/>
    <w:multiLevelType w:val="multilevel"/>
    <w:tmpl w:val="B7DE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5B0BB2"/>
    <w:multiLevelType w:val="multilevel"/>
    <w:tmpl w:val="B4581F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5C5617"/>
    <w:multiLevelType w:val="multilevel"/>
    <w:tmpl w:val="01E61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8F503D"/>
    <w:multiLevelType w:val="multilevel"/>
    <w:tmpl w:val="D40A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2A5750"/>
    <w:multiLevelType w:val="multilevel"/>
    <w:tmpl w:val="C2745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1220577">
    <w:abstractNumId w:val="14"/>
  </w:num>
  <w:num w:numId="2" w16cid:durableId="1653875335">
    <w:abstractNumId w:val="10"/>
  </w:num>
  <w:num w:numId="3" w16cid:durableId="441072492">
    <w:abstractNumId w:val="7"/>
  </w:num>
  <w:num w:numId="4" w16cid:durableId="396517977">
    <w:abstractNumId w:val="13"/>
  </w:num>
  <w:num w:numId="5" w16cid:durableId="1064062581">
    <w:abstractNumId w:val="5"/>
  </w:num>
  <w:num w:numId="6" w16cid:durableId="1965234662">
    <w:abstractNumId w:val="2"/>
  </w:num>
  <w:num w:numId="7" w16cid:durableId="2045404712">
    <w:abstractNumId w:val="9"/>
  </w:num>
  <w:num w:numId="8" w16cid:durableId="411895327">
    <w:abstractNumId w:val="12"/>
  </w:num>
  <w:num w:numId="9" w16cid:durableId="1492022491">
    <w:abstractNumId w:val="1"/>
  </w:num>
  <w:num w:numId="10" w16cid:durableId="224877110">
    <w:abstractNumId w:val="8"/>
  </w:num>
  <w:num w:numId="11" w16cid:durableId="2055039792">
    <w:abstractNumId w:val="0"/>
  </w:num>
  <w:num w:numId="12" w16cid:durableId="182089518">
    <w:abstractNumId w:val="6"/>
  </w:num>
  <w:num w:numId="13" w16cid:durableId="1558201470">
    <w:abstractNumId w:val="15"/>
  </w:num>
  <w:num w:numId="14" w16cid:durableId="649990626">
    <w:abstractNumId w:val="11"/>
  </w:num>
  <w:num w:numId="15" w16cid:durableId="593395681">
    <w:abstractNumId w:val="4"/>
  </w:num>
  <w:num w:numId="16" w16cid:durableId="14186007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C48"/>
    <w:rsid w:val="00234045"/>
    <w:rsid w:val="00234327"/>
    <w:rsid w:val="005B1D34"/>
    <w:rsid w:val="00697D07"/>
    <w:rsid w:val="00735740"/>
    <w:rsid w:val="007E5496"/>
    <w:rsid w:val="008B4D4E"/>
    <w:rsid w:val="008C4ABF"/>
    <w:rsid w:val="00A5796C"/>
    <w:rsid w:val="00B65B1A"/>
    <w:rsid w:val="00C23C65"/>
    <w:rsid w:val="00CF0C48"/>
    <w:rsid w:val="00DB41E6"/>
    <w:rsid w:val="00FF52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FDC4B"/>
  <w15:chartTrackingRefBased/>
  <w15:docId w15:val="{FE943D3D-4E20-4239-9990-9CB7759E6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CF0C48"/>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CF0C48"/>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CF0C48"/>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CF0C48"/>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CF0C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0C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0C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0C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0C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0C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0C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0C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0C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0C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0C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0C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0C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0C48"/>
    <w:rPr>
      <w:rFonts w:eastAsiaTheme="majorEastAsia" w:cstheme="majorBidi"/>
      <w:color w:val="272727" w:themeColor="text1" w:themeTint="D8"/>
    </w:rPr>
  </w:style>
  <w:style w:type="paragraph" w:styleId="Title">
    <w:name w:val="Title"/>
    <w:basedOn w:val="Normal"/>
    <w:next w:val="Normal"/>
    <w:link w:val="TitleChar"/>
    <w:uiPriority w:val="10"/>
    <w:qFormat/>
    <w:rsid w:val="00CF0C48"/>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CF0C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0C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0C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0C48"/>
    <w:pPr>
      <w:spacing w:before="160"/>
      <w:jc w:val="center"/>
    </w:pPr>
    <w:rPr>
      <w:i/>
      <w:iCs/>
      <w:color w:val="404040" w:themeColor="text1" w:themeTint="BF"/>
    </w:rPr>
  </w:style>
  <w:style w:type="character" w:customStyle="1" w:styleId="QuoteChar">
    <w:name w:val="Quote Char"/>
    <w:basedOn w:val="DefaultParagraphFont"/>
    <w:link w:val="Quote"/>
    <w:uiPriority w:val="29"/>
    <w:rsid w:val="00CF0C48"/>
    <w:rPr>
      <w:i/>
      <w:iCs/>
      <w:color w:val="404040" w:themeColor="text1" w:themeTint="BF"/>
    </w:rPr>
  </w:style>
  <w:style w:type="paragraph" w:styleId="ListParagraph">
    <w:name w:val="List Paragraph"/>
    <w:basedOn w:val="Normal"/>
    <w:uiPriority w:val="34"/>
    <w:qFormat/>
    <w:rsid w:val="00CF0C48"/>
    <w:pPr>
      <w:ind w:left="720"/>
      <w:contextualSpacing/>
    </w:pPr>
  </w:style>
  <w:style w:type="character" w:styleId="IntenseEmphasis">
    <w:name w:val="Intense Emphasis"/>
    <w:basedOn w:val="DefaultParagraphFont"/>
    <w:uiPriority w:val="21"/>
    <w:qFormat/>
    <w:rsid w:val="00CF0C48"/>
    <w:rPr>
      <w:i/>
      <w:iCs/>
      <w:color w:val="0F4761" w:themeColor="accent1" w:themeShade="BF"/>
    </w:rPr>
  </w:style>
  <w:style w:type="paragraph" w:styleId="IntenseQuote">
    <w:name w:val="Intense Quote"/>
    <w:basedOn w:val="Normal"/>
    <w:next w:val="Normal"/>
    <w:link w:val="IntenseQuoteChar"/>
    <w:uiPriority w:val="30"/>
    <w:qFormat/>
    <w:rsid w:val="00CF0C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0C48"/>
    <w:rPr>
      <w:i/>
      <w:iCs/>
      <w:color w:val="0F4761" w:themeColor="accent1" w:themeShade="BF"/>
    </w:rPr>
  </w:style>
  <w:style w:type="character" w:styleId="IntenseReference">
    <w:name w:val="Intense Reference"/>
    <w:basedOn w:val="DefaultParagraphFont"/>
    <w:uiPriority w:val="32"/>
    <w:qFormat/>
    <w:rsid w:val="00CF0C48"/>
    <w:rPr>
      <w:b/>
      <w:bCs/>
      <w:smallCaps/>
      <w:color w:val="0F4761" w:themeColor="accent1" w:themeShade="BF"/>
      <w:spacing w:val="5"/>
    </w:rPr>
  </w:style>
  <w:style w:type="table" w:styleId="TableGrid">
    <w:name w:val="Table Grid"/>
    <w:basedOn w:val="TableNormal"/>
    <w:uiPriority w:val="39"/>
    <w:rsid w:val="00CF0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F0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0C48"/>
  </w:style>
  <w:style w:type="paragraph" w:styleId="Footer">
    <w:name w:val="footer"/>
    <w:basedOn w:val="Normal"/>
    <w:link w:val="FooterChar"/>
    <w:uiPriority w:val="99"/>
    <w:unhideWhenUsed/>
    <w:rsid w:val="00CF0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0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79F304-22DC-4CCB-9893-9CDF2DE059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8FDFA4-D818-4492-B7BE-7BE35B7411D7}">
  <ds:schemaRefs>
    <ds:schemaRef ds:uri="http://schemas.microsoft.com/sharepoint/v3/contenttype/forms"/>
  </ds:schemaRefs>
</ds:datastoreItem>
</file>

<file path=customXml/itemProps3.xml><?xml version="1.0" encoding="utf-8"?>
<ds:datastoreItem xmlns:ds="http://schemas.openxmlformats.org/officeDocument/2006/customXml" ds:itemID="{7B41E4A7-2F3F-4B09-8FDD-4569F3A3C3AD}">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2465</Characters>
  <Application>Microsoft Office Word</Application>
  <DocSecurity>0</DocSecurity>
  <Lines>20</Lines>
  <Paragraphs>5</Paragraphs>
  <ScaleCrop>false</ScaleCrop>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Mario Di Clemente</cp:lastModifiedBy>
  <cp:revision>4</cp:revision>
  <dcterms:created xsi:type="dcterms:W3CDTF">2025-08-08T10:47:00Z</dcterms:created>
  <dcterms:modified xsi:type="dcterms:W3CDTF">2026-09-09T10:48:00Z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