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C085F" w14:textId="77777777" w:rsidR="006D5B3D" w:rsidRDefault="00505433">
      <w:pPr>
        <w:pStyle w:val="Heading1"/>
        <w:spacing w:before="100" w:after="200"/>
        <w:jc w:val="center"/>
      </w:pPr>
      <w:r>
        <w:rPr>
          <w:rFonts w:ascii="Aptos" w:eastAsia="Aptos" w:hAnsi="Aptos"/>
          <w:color w:val="6F1E6C"/>
          <w:sz w:val="34"/>
        </w:rPr>
        <w:t>Safer Recruitment Policy and Procedure</w:t>
      </w:r>
    </w:p>
    <w:p w14:paraId="3349EC72" w14:textId="77777777" w:rsidR="006D5B3D" w:rsidRDefault="006D5B3D">
      <w:pPr>
        <w:spacing w:after="40"/>
      </w:pPr>
    </w:p>
    <w:p w14:paraId="36009347" w14:textId="77777777" w:rsidR="006D5B3D" w:rsidRDefault="00505433">
      <w:pPr>
        <w:pStyle w:val="Heading2"/>
        <w:spacing w:before="140" w:after="60"/>
      </w:pPr>
      <w:r>
        <w:rPr>
          <w:rFonts w:ascii="Aptos" w:eastAsia="Aptos" w:hAnsi="Aptos"/>
          <w:color w:val="92278F"/>
          <w:sz w:val="23"/>
        </w:rPr>
        <w:t>1. Purpose</w:t>
      </w:r>
    </w:p>
    <w:p w14:paraId="4F1ED7AB" w14:textId="77777777" w:rsidR="006D5B3D" w:rsidRDefault="00505433">
      <w:pPr>
        <w:keepLines/>
        <w:spacing w:after="70"/>
      </w:pPr>
      <w:r>
        <w:t>The school recruits and checks staff, volunteers and other adults in line with Keeping Children Safe in Education 2026 and the Independent School Standards. Safer recruitment is designed to deter, identify and reject unsuitable people.</w:t>
      </w:r>
    </w:p>
    <w:p w14:paraId="6D44A2E5" w14:textId="77777777" w:rsidR="006D5B3D" w:rsidRDefault="00505433">
      <w:pPr>
        <w:pStyle w:val="Heading2"/>
        <w:spacing w:before="140" w:after="60"/>
      </w:pPr>
      <w:r>
        <w:rPr>
          <w:rFonts w:ascii="Aptos" w:eastAsia="Aptos" w:hAnsi="Aptos"/>
          <w:color w:val="92278F"/>
          <w:sz w:val="23"/>
        </w:rPr>
        <w:t>2. Responsibilities</w:t>
      </w:r>
    </w:p>
    <w:p w14:paraId="7D2A1AFB" w14:textId="77777777" w:rsidR="006D5B3D" w:rsidRDefault="00505433">
      <w:pPr>
        <w:keepLines/>
        <w:spacing w:after="70"/>
      </w:pPr>
      <w:r>
        <w:t>The Single Central Record (SCR) is managed jointly by the Headteacher, HR and Head of Operations. Recruitment checks are normally coordinated by HR/Head of Operations. At least one person involved in each recruitment process is safer-recruitment trained.</w:t>
      </w:r>
    </w:p>
    <w:p w14:paraId="535A0FAF" w14:textId="77777777" w:rsidR="006D5B3D" w:rsidRDefault="00505433">
      <w:pPr>
        <w:pStyle w:val="Heading2"/>
        <w:spacing w:before="140" w:after="60"/>
      </w:pPr>
      <w:r>
        <w:rPr>
          <w:rFonts w:ascii="Aptos" w:eastAsia="Aptos" w:hAnsi="Aptos"/>
          <w:color w:val="92278F"/>
          <w:sz w:val="23"/>
        </w:rPr>
        <w:t>3. Advertising and Applications</w:t>
      </w:r>
    </w:p>
    <w:p w14:paraId="41189A32" w14:textId="77777777" w:rsidR="006D5B3D" w:rsidRDefault="00505433">
      <w:pPr>
        <w:keepLines/>
        <w:spacing w:after="70"/>
        <w:ind w:left="259" w:hanging="173"/>
      </w:pPr>
      <w:r>
        <w:t>• Adverts and application information state the school’s safeguarding commitment and relevant vetting requirements.</w:t>
      </w:r>
    </w:p>
    <w:p w14:paraId="67E04009" w14:textId="77777777" w:rsidR="006D5B3D" w:rsidRDefault="00505433">
      <w:pPr>
        <w:keepLines/>
        <w:spacing w:after="70"/>
        <w:ind w:left="259" w:hanging="173"/>
      </w:pPr>
      <w:r>
        <w:t>• Applicants provide a complete employment history and explain gaps.</w:t>
      </w:r>
    </w:p>
    <w:p w14:paraId="21058B3D" w14:textId="77777777" w:rsidR="006D5B3D" w:rsidRDefault="00505433">
      <w:pPr>
        <w:keepLines/>
        <w:spacing w:after="70"/>
        <w:ind w:left="259" w:hanging="173"/>
      </w:pPr>
      <w:r>
        <w:t xml:space="preserve">• </w:t>
      </w:r>
      <w:r>
        <w:t>Shortlisted candidates complete the required self-declaration information.</w:t>
      </w:r>
    </w:p>
    <w:p w14:paraId="6CBB6133" w14:textId="77777777" w:rsidR="006D5B3D" w:rsidRDefault="00505433">
      <w:pPr>
        <w:keepLines/>
        <w:spacing w:after="70"/>
        <w:ind w:left="259" w:hanging="173"/>
      </w:pPr>
      <w:r>
        <w:t>• At least two people undertake shortlisting wherever practicable.</w:t>
      </w:r>
    </w:p>
    <w:p w14:paraId="6B8CCAA6" w14:textId="77777777" w:rsidR="006D5B3D" w:rsidRDefault="00505433">
      <w:pPr>
        <w:pStyle w:val="Heading2"/>
        <w:spacing w:before="140" w:after="60"/>
      </w:pPr>
      <w:r>
        <w:rPr>
          <w:rFonts w:ascii="Aptos" w:eastAsia="Aptos" w:hAnsi="Aptos"/>
          <w:color w:val="92278F"/>
          <w:sz w:val="23"/>
        </w:rPr>
        <w:t>4. Online Searches</w:t>
      </w:r>
    </w:p>
    <w:p w14:paraId="13473C84" w14:textId="77777777" w:rsidR="006D5B3D" w:rsidRDefault="00505433">
      <w:pPr>
        <w:keepLines/>
        <w:spacing w:after="70"/>
      </w:pPr>
      <w:r>
        <w:t>As part of shortlisting due diligence, the school carries out an online search of shortlisted candidates using publicly available information. Candidates are informed that this may happen. Any relevant finding is considered fairly and may be explored at interview.</w:t>
      </w:r>
    </w:p>
    <w:p w14:paraId="2EE95152" w14:textId="77777777" w:rsidR="006D5B3D" w:rsidRDefault="00505433">
      <w:pPr>
        <w:pStyle w:val="Heading2"/>
        <w:spacing w:before="140" w:after="60"/>
      </w:pPr>
      <w:r>
        <w:rPr>
          <w:rFonts w:ascii="Aptos" w:eastAsia="Aptos" w:hAnsi="Aptos"/>
          <w:color w:val="92278F"/>
          <w:sz w:val="23"/>
        </w:rPr>
        <w:t>5. References</w:t>
      </w:r>
    </w:p>
    <w:p w14:paraId="47E18790" w14:textId="77777777" w:rsidR="006D5B3D" w:rsidRDefault="00505433">
      <w:pPr>
        <w:keepLines/>
        <w:spacing w:after="70"/>
      </w:pPr>
      <w:r>
        <w:t>References should be obtained before interview where possible so concerns can be explored with the referee and candidate. Where this is not possible, references must be obtained, verified and scrutinised before appointment is confirmed. Open references are not accepted and discrepancies are followed up.</w:t>
      </w:r>
    </w:p>
    <w:p w14:paraId="321A71CF" w14:textId="77777777" w:rsidR="006D5B3D" w:rsidRDefault="00505433">
      <w:pPr>
        <w:pStyle w:val="Heading2"/>
        <w:spacing w:before="140" w:after="60"/>
      </w:pPr>
      <w:r>
        <w:rPr>
          <w:rFonts w:ascii="Aptos" w:eastAsia="Aptos" w:hAnsi="Aptos"/>
          <w:color w:val="92278F"/>
          <w:sz w:val="23"/>
        </w:rPr>
        <w:t>6. Interview and Selection</w:t>
      </w:r>
    </w:p>
    <w:p w14:paraId="3B8CEB84" w14:textId="77777777" w:rsidR="006D5B3D" w:rsidRDefault="00505433">
      <w:pPr>
        <w:keepLines/>
        <w:spacing w:after="70"/>
      </w:pPr>
      <w:r>
        <w:t>Interviewers explore suitability to work with pupils, safeguarding understanding, employment gaps or inconsistencies and any relevant issues from references, declarations or online searches. Selection decisions are recorded.</w:t>
      </w:r>
    </w:p>
    <w:p w14:paraId="2833EE36" w14:textId="77777777" w:rsidR="006D5B3D" w:rsidRDefault="00505433">
      <w:pPr>
        <w:pStyle w:val="Heading2"/>
        <w:spacing w:before="140" w:after="60"/>
      </w:pPr>
      <w:r>
        <w:rPr>
          <w:rFonts w:ascii="Aptos" w:eastAsia="Aptos" w:hAnsi="Aptos"/>
          <w:color w:val="92278F"/>
          <w:sz w:val="23"/>
        </w:rPr>
        <w:t>7. Pre-Appointment Checks</w:t>
      </w:r>
    </w:p>
    <w:p w14:paraId="6B465D7D" w14:textId="77777777" w:rsidR="006D5B3D" w:rsidRDefault="00505433">
      <w:pPr>
        <w:keepLines/>
        <w:spacing w:after="70"/>
        <w:ind w:left="259" w:hanging="173"/>
      </w:pPr>
      <w:r>
        <w:t>• Identity and right to work</w:t>
      </w:r>
    </w:p>
    <w:p w14:paraId="057D7661" w14:textId="77777777" w:rsidR="006D5B3D" w:rsidRDefault="00505433">
      <w:pPr>
        <w:keepLines/>
        <w:spacing w:after="70"/>
        <w:ind w:left="259" w:hanging="173"/>
      </w:pPr>
      <w:r>
        <w:t>• Enhanced DBS and children’s barred list information where the role is regulated activity</w:t>
      </w:r>
    </w:p>
    <w:p w14:paraId="3933255B" w14:textId="77777777" w:rsidR="006D5B3D" w:rsidRDefault="00505433">
      <w:pPr>
        <w:keepLines/>
        <w:spacing w:after="70"/>
        <w:ind w:left="259" w:hanging="173"/>
      </w:pPr>
      <w:r>
        <w:t>• Prohibition from teaching check where applicable</w:t>
      </w:r>
    </w:p>
    <w:p w14:paraId="7A2CDDC9" w14:textId="77777777" w:rsidR="006D5B3D" w:rsidRDefault="00505433">
      <w:pPr>
        <w:keepLines/>
        <w:spacing w:after="70"/>
        <w:ind w:left="259" w:hanging="173"/>
      </w:pPr>
      <w:r>
        <w:t>• Section 128 direction check for relevant management roles</w:t>
      </w:r>
    </w:p>
    <w:p w14:paraId="26455E09" w14:textId="77777777" w:rsidR="006D5B3D" w:rsidRDefault="00505433">
      <w:pPr>
        <w:keepLines/>
        <w:spacing w:after="70"/>
        <w:ind w:left="259" w:hanging="173"/>
      </w:pPr>
      <w:r>
        <w:t xml:space="preserve">• </w:t>
      </w:r>
      <w:r>
        <w:t>Qualifications where required</w:t>
      </w:r>
    </w:p>
    <w:p w14:paraId="4E35360B" w14:textId="77777777" w:rsidR="006D5B3D" w:rsidRDefault="00505433">
      <w:pPr>
        <w:keepLines/>
        <w:spacing w:after="70"/>
        <w:ind w:left="259" w:hanging="173"/>
      </w:pPr>
      <w:r>
        <w:t>• Overseas criminal or professional checks where relevant</w:t>
      </w:r>
    </w:p>
    <w:p w14:paraId="6A67155E" w14:textId="77777777" w:rsidR="006D5B3D" w:rsidRDefault="00505433">
      <w:pPr>
        <w:keepLines/>
        <w:spacing w:after="70"/>
        <w:ind w:left="259" w:hanging="173"/>
      </w:pPr>
      <w:r>
        <w:t>• Health/fitness information only as permitted by law and at the appropriate stage</w:t>
      </w:r>
    </w:p>
    <w:p w14:paraId="0FAB9B08" w14:textId="77777777" w:rsidR="006D5B3D" w:rsidRDefault="00505433">
      <w:pPr>
        <w:keepLines/>
        <w:spacing w:after="70"/>
        <w:ind w:left="259" w:hanging="173"/>
      </w:pPr>
      <w:r>
        <w:t>• Any other KCSIE check relevant to the role</w:t>
      </w:r>
    </w:p>
    <w:p w14:paraId="45673A41" w14:textId="77777777" w:rsidR="006D5B3D" w:rsidRDefault="00505433">
      <w:pPr>
        <w:pStyle w:val="Heading2"/>
        <w:spacing w:before="140" w:after="60"/>
      </w:pPr>
      <w:r>
        <w:rPr>
          <w:rFonts w:ascii="Aptos" w:eastAsia="Aptos" w:hAnsi="Aptos"/>
          <w:color w:val="92278F"/>
          <w:sz w:val="23"/>
        </w:rPr>
        <w:t>8. Existing Staff and DBS Renewal</w:t>
      </w:r>
    </w:p>
    <w:p w14:paraId="243299DF" w14:textId="77777777" w:rsidR="006D5B3D" w:rsidRDefault="00505433">
      <w:pPr>
        <w:keepLines/>
        <w:spacing w:after="70"/>
      </w:pPr>
      <w:r>
        <w:t>The school operates an enhanced local standard of three-year DBS renewal and annual DBS Update Service checks where staff are subscribed. Additional checks may be undertaken where a role changes, there is a break in service or suitability concerns arise. Statutory referral duties to the DBS/TRA are followed where applicable.</w:t>
      </w:r>
    </w:p>
    <w:p w14:paraId="4445B3B6" w14:textId="77777777" w:rsidR="006D5B3D" w:rsidRDefault="00505433">
      <w:pPr>
        <w:pStyle w:val="Heading2"/>
        <w:spacing w:before="140" w:after="60"/>
      </w:pPr>
      <w:r>
        <w:rPr>
          <w:rFonts w:ascii="Aptos" w:eastAsia="Aptos" w:hAnsi="Aptos"/>
          <w:color w:val="92278F"/>
          <w:sz w:val="23"/>
        </w:rPr>
        <w:lastRenderedPageBreak/>
        <w:t>9. Volunteers - September 2026 Change</w:t>
      </w:r>
    </w:p>
    <w:p w14:paraId="410C33B2" w14:textId="77777777" w:rsidR="006D5B3D" w:rsidRDefault="00505433">
      <w:pPr>
        <w:keepLines/>
        <w:spacing w:after="70"/>
      </w:pPr>
      <w:r>
        <w:t>From 1 September 2026 the supervision exemption for regulated activity with children is removed. A volunteer who teaches, trains, instructs, cares for or supervises children is in regulated activity where the activity is carried out on more than 3 days in any 30-day period or overnight (between 2am and 6am), even when supervised. Volunteers in regulated activity require an enhanced DBS check with children's barred list information. Less frequent or occasional volunteering is assessed according to the activi</w:t>
      </w:r>
      <w:r>
        <w:t>ty, frequency and current statutory guidance.</w:t>
      </w:r>
    </w:p>
    <w:p w14:paraId="0C2800B2" w14:textId="77777777" w:rsidR="006D5B3D" w:rsidRDefault="00505433">
      <w:pPr>
        <w:pStyle w:val="Heading2"/>
        <w:spacing w:before="140" w:after="60"/>
      </w:pPr>
      <w:r>
        <w:rPr>
          <w:rFonts w:ascii="Aptos" w:eastAsia="Aptos" w:hAnsi="Aptos"/>
          <w:color w:val="92278F"/>
          <w:sz w:val="23"/>
        </w:rPr>
        <w:t>10. Contractors, Counsellors, Agency and Third-Party Staff</w:t>
      </w:r>
    </w:p>
    <w:p w14:paraId="75AF55A6" w14:textId="77777777" w:rsidR="006D5B3D" w:rsidRDefault="00505433">
      <w:pPr>
        <w:keepLines/>
        <w:spacing w:after="70"/>
      </w:pPr>
      <w:r>
        <w:t>The school verifies the identity of contractors and third-party workers and obtains the checks or written assurances required for the role. The school’s counsellor and any future agency/supply workers are subject to appropriate safeguarding assurance before working with pupils.</w:t>
      </w:r>
    </w:p>
    <w:p w14:paraId="6275A8DB" w14:textId="77777777" w:rsidR="006D5B3D" w:rsidRDefault="00505433">
      <w:pPr>
        <w:pStyle w:val="Heading2"/>
        <w:spacing w:before="140" w:after="60"/>
      </w:pPr>
      <w:r>
        <w:rPr>
          <w:rFonts w:ascii="Aptos" w:eastAsia="Aptos" w:hAnsi="Aptos"/>
          <w:color w:val="92278F"/>
          <w:sz w:val="23"/>
        </w:rPr>
        <w:t>11. Alternative Provision and Work Experience</w:t>
      </w:r>
    </w:p>
    <w:p w14:paraId="56DBB498" w14:textId="77777777" w:rsidR="006D5B3D" w:rsidRDefault="00505433">
      <w:pPr>
        <w:keepLines/>
        <w:spacing w:after="70"/>
      </w:pPr>
      <w:r>
        <w:t>The school does not currently routinely use alternative provision or work experience, but may do so in future. Before placement, Mario Di Clemente or the Head of Operations obtains safeguarding assurance, confirms roles and checks, and ensures appropriate monitoring of attendance, safety and quality.</w:t>
      </w:r>
    </w:p>
    <w:p w14:paraId="45AC1FA8" w14:textId="77777777" w:rsidR="006D5B3D" w:rsidRDefault="00505433">
      <w:pPr>
        <w:pStyle w:val="Heading2"/>
        <w:spacing w:before="140" w:after="60"/>
      </w:pPr>
      <w:r>
        <w:rPr>
          <w:rFonts w:ascii="Aptos" w:eastAsia="Aptos" w:hAnsi="Aptos"/>
          <w:color w:val="92278F"/>
          <w:sz w:val="23"/>
        </w:rPr>
        <w:t>12. Single Central Record</w:t>
      </w:r>
    </w:p>
    <w:p w14:paraId="77475435" w14:textId="77777777" w:rsidR="006D5B3D" w:rsidRDefault="00505433">
      <w:pPr>
        <w:keepLines/>
        <w:spacing w:after="70"/>
      </w:pPr>
      <w:r>
        <w:t>The SCR contains the checks required by the Independent School Standards and KCSIE 2026. It is kept accurate, current and available for inspection. HR/Operations and the Headteacher ensure the SCR reflects the individual's role and the checks that are legally required.</w:t>
      </w:r>
    </w:p>
    <w:p w14:paraId="06766FD7" w14:textId="77777777" w:rsidR="006D5B3D" w:rsidRDefault="00505433">
      <w:pPr>
        <w:pStyle w:val="Heading2"/>
        <w:spacing w:before="140" w:after="60"/>
      </w:pPr>
      <w:r>
        <w:rPr>
          <w:rFonts w:ascii="Aptos" w:eastAsia="Aptos" w:hAnsi="Aptos"/>
          <w:color w:val="92278F"/>
          <w:sz w:val="23"/>
        </w:rPr>
        <w:t>13. Recruitment of Ex-Offenders</w:t>
      </w:r>
    </w:p>
    <w:p w14:paraId="08AD44E1" w14:textId="77777777" w:rsidR="006D5B3D" w:rsidRDefault="00505433">
      <w:pPr>
        <w:keepLines/>
        <w:spacing w:after="70"/>
      </w:pPr>
      <w:r>
        <w:t>Criminal record information is considered fairly and lawfully in line with DBS guidance and relevant legislation. Having a criminal record does not automatically prevent appointment; relevance, safeguarding risk and legal restrictions are considered.</w:t>
      </w:r>
    </w:p>
    <w:p w14:paraId="7A3820EF" w14:textId="77777777" w:rsidR="006D5B3D" w:rsidRDefault="006D5B3D">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56546FAD" w14:textId="77777777" w:rsidR="006D5B3D" w:rsidRDefault="006D5B3D">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004D2D9F" w14:textId="77777777" w:rsidR="006D5B3D" w:rsidRDefault="00505433">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2BDBE436" w14:textId="77777777" w:rsidR="006D5B3D" w:rsidRDefault="00505433">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2DCEAEFB" w14:textId="77777777" w:rsidR="006D5B3D" w:rsidRDefault="00505433">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6D1BA05B" w14:textId="77777777" w:rsidR="006D5B3D" w:rsidRDefault="00505433">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57E3C6B5" w14:textId="77777777" w:rsidR="006D5B3D" w:rsidRDefault="00505433">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584AED23" w14:textId="77777777" w:rsidR="006D5B3D" w:rsidRDefault="00505433">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4D783A52" w14:textId="77777777" w:rsidR="006D5B3D" w:rsidRDefault="006D5B3D">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18623721" w14:textId="77777777" w:rsidR="006D5B3D" w:rsidRDefault="006D5B3D">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0AE9B094" w14:textId="77777777" w:rsidR="006D5B3D" w:rsidRDefault="00505433">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4227CB19" w14:textId="77777777" w:rsidR="006D5B3D" w:rsidRDefault="006D5B3D">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0BA753CE" w14:textId="77777777" w:rsidR="006D5B3D" w:rsidRDefault="00505433">
            <w:pPr>
              <w:keepLines/>
              <w:spacing w:after="0"/>
            </w:pPr>
            <w:r>
              <w:rPr>
                <w:sz w:val="19"/>
              </w:rPr>
              <w:t>September 2027</w:t>
            </w:r>
          </w:p>
        </w:tc>
      </w:tr>
    </w:tbl>
    <w:p w14:paraId="67871DF4" w14:textId="77777777" w:rsidR="00505433" w:rsidRDefault="00505433"/>
    <w:sectPr w:rsidR="00505433">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0DFB8" w14:textId="77777777" w:rsidR="00505433" w:rsidRDefault="00505433" w:rsidP="00D0345D">
      <w:pPr>
        <w:spacing w:after="0" w:line="240" w:lineRule="auto"/>
      </w:pPr>
      <w:r>
        <w:separator/>
      </w:r>
    </w:p>
  </w:endnote>
  <w:endnote w:type="continuationSeparator" w:id="0">
    <w:p w14:paraId="35C82635" w14:textId="77777777" w:rsidR="00505433" w:rsidRDefault="00505433" w:rsidP="00D03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DDF3C" w14:textId="77777777" w:rsidR="006D5B3D" w:rsidRDefault="006D5B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0985B" w14:textId="77777777" w:rsidR="00505433" w:rsidRDefault="00505433" w:rsidP="00D0345D">
      <w:pPr>
        <w:spacing w:after="0" w:line="240" w:lineRule="auto"/>
      </w:pPr>
      <w:r>
        <w:separator/>
      </w:r>
    </w:p>
  </w:footnote>
  <w:footnote w:type="continuationSeparator" w:id="0">
    <w:p w14:paraId="1E6F2EF8" w14:textId="77777777" w:rsidR="00505433" w:rsidRDefault="00505433" w:rsidP="00D03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3C376" w14:textId="3D42CE05" w:rsidR="00D0345D" w:rsidRDefault="00D0345D">
    <w:pPr>
      <w:pStyle w:val="Header"/>
      <w:pBdr>
        <w:bottom w:val="single" w:sz="10" w:space="3" w:color="92278F"/>
      </w:pBdr>
      <w:spacing w:after="40"/>
    </w:pPr>
    <w:r>
      <w:rPr>
        <w:noProof/>
      </w:rPr>
      <w:drawing>
        <wp:inline distT="0" distB="0" distL="0" distR="0" wp14:anchorId="0A9D9FDA" wp14:editId="5C0A3620">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785F"/>
    <w:multiLevelType w:val="multilevel"/>
    <w:tmpl w:val="4FD2C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A2B90"/>
    <w:multiLevelType w:val="multilevel"/>
    <w:tmpl w:val="0364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03B6A"/>
    <w:multiLevelType w:val="multilevel"/>
    <w:tmpl w:val="029E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C6AC0"/>
    <w:multiLevelType w:val="multilevel"/>
    <w:tmpl w:val="3808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854AB"/>
    <w:multiLevelType w:val="multilevel"/>
    <w:tmpl w:val="D35C1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C4B4F"/>
    <w:multiLevelType w:val="multilevel"/>
    <w:tmpl w:val="AAE0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5025BF"/>
    <w:multiLevelType w:val="multilevel"/>
    <w:tmpl w:val="A7C2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9C481E"/>
    <w:multiLevelType w:val="multilevel"/>
    <w:tmpl w:val="C3AE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2A5AFD"/>
    <w:multiLevelType w:val="multilevel"/>
    <w:tmpl w:val="C2B6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34232C"/>
    <w:multiLevelType w:val="multilevel"/>
    <w:tmpl w:val="0C78A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D90E54"/>
    <w:multiLevelType w:val="multilevel"/>
    <w:tmpl w:val="D7CE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5F2D52"/>
    <w:multiLevelType w:val="multilevel"/>
    <w:tmpl w:val="A4480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837D66"/>
    <w:multiLevelType w:val="multilevel"/>
    <w:tmpl w:val="F0E07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CC5ADD"/>
    <w:multiLevelType w:val="multilevel"/>
    <w:tmpl w:val="3540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633C3C"/>
    <w:multiLevelType w:val="multilevel"/>
    <w:tmpl w:val="3440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0B406A"/>
    <w:multiLevelType w:val="multilevel"/>
    <w:tmpl w:val="E1B8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AC5646"/>
    <w:multiLevelType w:val="multilevel"/>
    <w:tmpl w:val="134C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BA4D03"/>
    <w:multiLevelType w:val="multilevel"/>
    <w:tmpl w:val="4D762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680CB2"/>
    <w:multiLevelType w:val="multilevel"/>
    <w:tmpl w:val="65EEC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6751706">
    <w:abstractNumId w:val="3"/>
  </w:num>
  <w:num w:numId="2" w16cid:durableId="548340041">
    <w:abstractNumId w:val="7"/>
  </w:num>
  <w:num w:numId="3" w16cid:durableId="799878739">
    <w:abstractNumId w:val="0"/>
  </w:num>
  <w:num w:numId="4" w16cid:durableId="1206718244">
    <w:abstractNumId w:val="12"/>
  </w:num>
  <w:num w:numId="5" w16cid:durableId="827019885">
    <w:abstractNumId w:val="4"/>
  </w:num>
  <w:num w:numId="6" w16cid:durableId="2136021078">
    <w:abstractNumId w:val="14"/>
  </w:num>
  <w:num w:numId="7" w16cid:durableId="1804157173">
    <w:abstractNumId w:val="10"/>
  </w:num>
  <w:num w:numId="8" w16cid:durableId="1521164050">
    <w:abstractNumId w:val="8"/>
  </w:num>
  <w:num w:numId="9" w16cid:durableId="575172394">
    <w:abstractNumId w:val="5"/>
  </w:num>
  <w:num w:numId="10" w16cid:durableId="1649362987">
    <w:abstractNumId w:val="16"/>
  </w:num>
  <w:num w:numId="11" w16cid:durableId="1128208611">
    <w:abstractNumId w:val="13"/>
  </w:num>
  <w:num w:numId="12" w16cid:durableId="2027825357">
    <w:abstractNumId w:val="17"/>
  </w:num>
  <w:num w:numId="13" w16cid:durableId="1974631671">
    <w:abstractNumId w:val="2"/>
  </w:num>
  <w:num w:numId="14" w16cid:durableId="442844435">
    <w:abstractNumId w:val="15"/>
  </w:num>
  <w:num w:numId="15" w16cid:durableId="1523350197">
    <w:abstractNumId w:val="6"/>
  </w:num>
  <w:num w:numId="16" w16cid:durableId="255601159">
    <w:abstractNumId w:val="11"/>
  </w:num>
  <w:num w:numId="17" w16cid:durableId="604115081">
    <w:abstractNumId w:val="1"/>
  </w:num>
  <w:num w:numId="18" w16cid:durableId="4091482">
    <w:abstractNumId w:val="18"/>
  </w:num>
  <w:num w:numId="19" w16cid:durableId="21143978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5D"/>
    <w:rsid w:val="000751A7"/>
    <w:rsid w:val="001268EB"/>
    <w:rsid w:val="00234045"/>
    <w:rsid w:val="00234327"/>
    <w:rsid w:val="00327B13"/>
    <w:rsid w:val="0048143A"/>
    <w:rsid w:val="00486A51"/>
    <w:rsid w:val="004C73B1"/>
    <w:rsid w:val="00505433"/>
    <w:rsid w:val="005B1D34"/>
    <w:rsid w:val="00654AA7"/>
    <w:rsid w:val="006D5B3D"/>
    <w:rsid w:val="00785672"/>
    <w:rsid w:val="007E5496"/>
    <w:rsid w:val="009419E9"/>
    <w:rsid w:val="00B464D1"/>
    <w:rsid w:val="00CD3DC4"/>
    <w:rsid w:val="00D0345D"/>
    <w:rsid w:val="00D72159"/>
    <w:rsid w:val="00DB41E6"/>
    <w:rsid w:val="00E82405"/>
    <w:rsid w:val="00F66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7C6BD"/>
  <w15:chartTrackingRefBased/>
  <w15:docId w15:val="{EFBD9412-2B29-45A2-B331-41C582778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D0345D"/>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D0345D"/>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D0345D"/>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D0345D"/>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D034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34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4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4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4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4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34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34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34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34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34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4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4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45D"/>
    <w:rPr>
      <w:rFonts w:eastAsiaTheme="majorEastAsia" w:cstheme="majorBidi"/>
      <w:color w:val="272727" w:themeColor="text1" w:themeTint="D8"/>
    </w:rPr>
  </w:style>
  <w:style w:type="paragraph" w:styleId="Title">
    <w:name w:val="Title"/>
    <w:basedOn w:val="Normal"/>
    <w:next w:val="Normal"/>
    <w:link w:val="TitleChar"/>
    <w:uiPriority w:val="10"/>
    <w:qFormat/>
    <w:rsid w:val="00D0345D"/>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D034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4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4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45D"/>
    <w:pPr>
      <w:spacing w:before="160"/>
      <w:jc w:val="center"/>
    </w:pPr>
    <w:rPr>
      <w:i/>
      <w:iCs/>
      <w:color w:val="404040" w:themeColor="text1" w:themeTint="BF"/>
    </w:rPr>
  </w:style>
  <w:style w:type="character" w:customStyle="1" w:styleId="QuoteChar">
    <w:name w:val="Quote Char"/>
    <w:basedOn w:val="DefaultParagraphFont"/>
    <w:link w:val="Quote"/>
    <w:uiPriority w:val="29"/>
    <w:rsid w:val="00D0345D"/>
    <w:rPr>
      <w:i/>
      <w:iCs/>
      <w:color w:val="404040" w:themeColor="text1" w:themeTint="BF"/>
    </w:rPr>
  </w:style>
  <w:style w:type="paragraph" w:styleId="ListParagraph">
    <w:name w:val="List Paragraph"/>
    <w:basedOn w:val="Normal"/>
    <w:uiPriority w:val="34"/>
    <w:qFormat/>
    <w:rsid w:val="00D0345D"/>
    <w:pPr>
      <w:ind w:left="720"/>
      <w:contextualSpacing/>
    </w:pPr>
  </w:style>
  <w:style w:type="character" w:styleId="IntenseEmphasis">
    <w:name w:val="Intense Emphasis"/>
    <w:basedOn w:val="DefaultParagraphFont"/>
    <w:uiPriority w:val="21"/>
    <w:qFormat/>
    <w:rsid w:val="00D0345D"/>
    <w:rPr>
      <w:i/>
      <w:iCs/>
      <w:color w:val="0F4761" w:themeColor="accent1" w:themeShade="BF"/>
    </w:rPr>
  </w:style>
  <w:style w:type="paragraph" w:styleId="IntenseQuote">
    <w:name w:val="Intense Quote"/>
    <w:basedOn w:val="Normal"/>
    <w:next w:val="Normal"/>
    <w:link w:val="IntenseQuoteChar"/>
    <w:uiPriority w:val="30"/>
    <w:qFormat/>
    <w:rsid w:val="00D034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45D"/>
    <w:rPr>
      <w:i/>
      <w:iCs/>
      <w:color w:val="0F4761" w:themeColor="accent1" w:themeShade="BF"/>
    </w:rPr>
  </w:style>
  <w:style w:type="character" w:styleId="IntenseReference">
    <w:name w:val="Intense Reference"/>
    <w:basedOn w:val="DefaultParagraphFont"/>
    <w:uiPriority w:val="32"/>
    <w:qFormat/>
    <w:rsid w:val="00D0345D"/>
    <w:rPr>
      <w:b/>
      <w:bCs/>
      <w:smallCaps/>
      <w:color w:val="0F4761" w:themeColor="accent1" w:themeShade="BF"/>
      <w:spacing w:val="5"/>
    </w:rPr>
  </w:style>
  <w:style w:type="paragraph" w:styleId="Header">
    <w:name w:val="header"/>
    <w:basedOn w:val="Normal"/>
    <w:link w:val="HeaderChar"/>
    <w:uiPriority w:val="99"/>
    <w:unhideWhenUsed/>
    <w:rsid w:val="00D034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345D"/>
  </w:style>
  <w:style w:type="paragraph" w:styleId="Footer">
    <w:name w:val="footer"/>
    <w:basedOn w:val="Normal"/>
    <w:link w:val="FooterChar"/>
    <w:uiPriority w:val="99"/>
    <w:unhideWhenUsed/>
    <w:rsid w:val="00D034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345D"/>
  </w:style>
  <w:style w:type="table" w:styleId="TableGrid">
    <w:name w:val="Table Grid"/>
    <w:basedOn w:val="TableNormal"/>
    <w:uiPriority w:val="39"/>
    <w:rsid w:val="00D03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6496EF-328D-43C0-88EF-641CA63F90FB}">
  <ds:schemaRefs>
    <ds:schemaRef ds:uri="http://schemas.microsoft.com/sharepoint/v3/contenttype/forms"/>
  </ds:schemaRefs>
</ds:datastoreItem>
</file>

<file path=customXml/itemProps2.xml><?xml version="1.0" encoding="utf-8"?>
<ds:datastoreItem xmlns:ds="http://schemas.openxmlformats.org/officeDocument/2006/customXml" ds:itemID="{E8CF9292-7B40-41CA-B463-4BF4A6CBB81C}">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3.xml><?xml version="1.0" encoding="utf-8"?>
<ds:datastoreItem xmlns:ds="http://schemas.openxmlformats.org/officeDocument/2006/customXml" ds:itemID="{1ADD29A1-26B0-40AD-9626-8ABE20490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685</Words>
  <Characters>3909</Characters>
  <Application>Microsoft Office Word</Application>
  <DocSecurity>0</DocSecurity>
  <Lines>32</Lines>
  <Paragraphs>9</Paragraphs>
  <ScaleCrop>false</ScaleCrop>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9</cp:revision>
  <dcterms:created xsi:type="dcterms:W3CDTF">2025-08-08T10:45:00Z</dcterms:created>
  <dcterms:modified xsi:type="dcterms:W3CDTF">2026-09-09T10:48:00Z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