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2F5E3" w14:textId="77777777" w:rsidR="004A028D" w:rsidRDefault="00A53D92">
      <w:pPr>
        <w:pStyle w:val="Heading1"/>
        <w:spacing w:before="100" w:after="200"/>
        <w:jc w:val="center"/>
      </w:pPr>
      <w:r>
        <w:rPr>
          <w:rFonts w:ascii="Aptos" w:eastAsia="Aptos" w:hAnsi="Aptos"/>
          <w:color w:val="6F1E6C"/>
          <w:sz w:val="34"/>
        </w:rPr>
        <w:t>SEND and Inclusion Policy</w:t>
      </w:r>
    </w:p>
    <w:p w14:paraId="530FCE99" w14:textId="77777777" w:rsidR="004A028D" w:rsidRDefault="004A028D">
      <w:pPr>
        <w:spacing w:after="40"/>
      </w:pPr>
    </w:p>
    <w:p w14:paraId="207598DA" w14:textId="77777777" w:rsidR="004A028D" w:rsidRDefault="00A53D92">
      <w:pPr>
        <w:pStyle w:val="Heading2"/>
        <w:spacing w:before="140" w:after="60"/>
      </w:pPr>
      <w:r>
        <w:rPr>
          <w:rFonts w:ascii="Aptos" w:eastAsia="Aptos" w:hAnsi="Aptos"/>
          <w:color w:val="92278F"/>
          <w:sz w:val="23"/>
        </w:rPr>
        <w:t>1. Vision</w:t>
      </w:r>
    </w:p>
    <w:p w14:paraId="5A75B1CB" w14:textId="77777777" w:rsidR="004A028D" w:rsidRDefault="00A53D92">
      <w:pPr>
        <w:keepLines/>
        <w:spacing w:after="70"/>
      </w:pPr>
      <w:r>
        <w:t>The Tutorial Foundation Day School is an independent specialist setting in which all pupils have identified SEND. The school aims to provide ambitious, accessible education, reduce barriers and support independence, wellbeing and positive destinations.</w:t>
      </w:r>
    </w:p>
    <w:p w14:paraId="7032A756" w14:textId="77777777" w:rsidR="004A028D" w:rsidRDefault="00A53D92">
      <w:pPr>
        <w:pStyle w:val="Heading2"/>
        <w:spacing w:before="140" w:after="60"/>
      </w:pPr>
      <w:r>
        <w:rPr>
          <w:rFonts w:ascii="Aptos" w:eastAsia="Aptos" w:hAnsi="Aptos"/>
          <w:color w:val="92278F"/>
          <w:sz w:val="23"/>
        </w:rPr>
        <w:t>2. Framework</w:t>
      </w:r>
    </w:p>
    <w:p w14:paraId="624A9257" w14:textId="77777777" w:rsidR="004A028D" w:rsidRDefault="00A53D92">
      <w:pPr>
        <w:keepLines/>
        <w:spacing w:after="70"/>
        <w:ind w:left="259" w:hanging="173"/>
      </w:pPr>
      <w:r>
        <w:t>• Children and Families Act 2014</w:t>
      </w:r>
    </w:p>
    <w:p w14:paraId="61DCF66F" w14:textId="77777777" w:rsidR="004A028D" w:rsidRDefault="00A53D92">
      <w:pPr>
        <w:keepLines/>
        <w:spacing w:after="70"/>
        <w:ind w:left="259" w:hanging="173"/>
      </w:pPr>
      <w:r>
        <w:t>• SEND Code of Practice: 0 to 25 years</w:t>
      </w:r>
    </w:p>
    <w:p w14:paraId="74E6F090" w14:textId="77777777" w:rsidR="004A028D" w:rsidRDefault="00A53D92">
      <w:pPr>
        <w:keepLines/>
        <w:spacing w:after="70"/>
        <w:ind w:left="259" w:hanging="173"/>
      </w:pPr>
      <w:r>
        <w:t>• Equality Act 2010</w:t>
      </w:r>
    </w:p>
    <w:p w14:paraId="5AA7C843" w14:textId="77777777" w:rsidR="004A028D" w:rsidRDefault="00A53D92">
      <w:pPr>
        <w:keepLines/>
        <w:spacing w:after="70"/>
        <w:ind w:left="259" w:hanging="173"/>
      </w:pPr>
      <w:r>
        <w:t>• Education (Independent School Standards) Regulations 2014</w:t>
      </w:r>
    </w:p>
    <w:p w14:paraId="71BA873B" w14:textId="77777777" w:rsidR="004A028D" w:rsidRDefault="00A53D92">
      <w:pPr>
        <w:keepLines/>
        <w:spacing w:after="70"/>
        <w:ind w:left="259" w:hanging="173"/>
      </w:pPr>
      <w:r>
        <w:t>• Relevant EHCP duties and local authority processes</w:t>
      </w:r>
    </w:p>
    <w:p w14:paraId="1BE2DAEC" w14:textId="77777777" w:rsidR="004A028D" w:rsidRDefault="00A53D92">
      <w:pPr>
        <w:pStyle w:val="Heading2"/>
        <w:spacing w:before="140" w:after="60"/>
      </w:pPr>
      <w:r>
        <w:rPr>
          <w:rFonts w:ascii="Aptos" w:eastAsia="Aptos" w:hAnsi="Aptos"/>
          <w:color w:val="92278F"/>
          <w:sz w:val="23"/>
        </w:rPr>
        <w:t>3. SENCO and Leadership</w:t>
      </w:r>
    </w:p>
    <w:p w14:paraId="68F54634" w14:textId="77777777" w:rsidR="004A028D" w:rsidRDefault="00A53D92">
      <w:pPr>
        <w:keepLines/>
        <w:spacing w:after="70"/>
      </w:pPr>
      <w:r>
        <w:t>Victoria (Vicky) Collman is the SENCO. The SENCO works with the Headteacher, SLT, pastoral staff, teachers, families and external professionals to coordinate provision and review impact.</w:t>
      </w:r>
    </w:p>
    <w:p w14:paraId="24933B1E" w14:textId="77777777" w:rsidR="004A028D" w:rsidRDefault="00A53D92">
      <w:pPr>
        <w:pStyle w:val="Heading2"/>
        <w:spacing w:before="140" w:after="60"/>
      </w:pPr>
      <w:r>
        <w:rPr>
          <w:rFonts w:ascii="Aptos" w:eastAsia="Aptos" w:hAnsi="Aptos"/>
          <w:color w:val="92278F"/>
          <w:sz w:val="23"/>
        </w:rPr>
        <w:t>4. Identification and Review</w:t>
      </w:r>
    </w:p>
    <w:p w14:paraId="3F4FBBE6" w14:textId="77777777" w:rsidR="004A028D" w:rsidRDefault="00A53D92">
      <w:pPr>
        <w:keepLines/>
        <w:spacing w:after="70"/>
      </w:pPr>
      <w:r>
        <w:t>Needs are identified through EHCPs and professional reports, parent/pupil information, baseline assessment, teacher observation and ongoing progress information. All pupils are included on the school SEND register and support is reviewed using an assess-plan-do-review approach.</w:t>
      </w:r>
    </w:p>
    <w:p w14:paraId="70E843C3" w14:textId="77777777" w:rsidR="004A028D" w:rsidRDefault="00A53D92">
      <w:pPr>
        <w:pStyle w:val="Heading2"/>
        <w:spacing w:before="140" w:after="60"/>
      </w:pPr>
      <w:r>
        <w:rPr>
          <w:rFonts w:ascii="Aptos" w:eastAsia="Aptos" w:hAnsi="Aptos"/>
          <w:color w:val="92278F"/>
          <w:sz w:val="23"/>
        </w:rPr>
        <w:t>5. Provision</w:t>
      </w:r>
    </w:p>
    <w:p w14:paraId="197C8E8C" w14:textId="77777777" w:rsidR="004A028D" w:rsidRDefault="00A53D92">
      <w:pPr>
        <w:keepLines/>
        <w:spacing w:after="70"/>
        <w:ind w:left="259" w:hanging="173"/>
      </w:pPr>
      <w:r>
        <w:t>• Small-group and personalised teaching</w:t>
      </w:r>
    </w:p>
    <w:p w14:paraId="5A754A54" w14:textId="77777777" w:rsidR="004A028D" w:rsidRDefault="00A53D92">
      <w:pPr>
        <w:keepLines/>
        <w:spacing w:after="70"/>
        <w:ind w:left="259" w:hanging="173"/>
      </w:pPr>
      <w:r>
        <w:t>• One-to-one tuition or intervention where required</w:t>
      </w:r>
    </w:p>
    <w:p w14:paraId="60B15E91" w14:textId="77777777" w:rsidR="004A028D" w:rsidRDefault="00A53D92">
      <w:pPr>
        <w:keepLines/>
        <w:spacing w:after="70"/>
        <w:ind w:left="259" w:hanging="173"/>
      </w:pPr>
      <w:r>
        <w:t>• SALT, ELSA, counselling and learning mentoring delivered in-house</w:t>
      </w:r>
    </w:p>
    <w:p w14:paraId="0F85C9A7" w14:textId="77777777" w:rsidR="004A028D" w:rsidRDefault="00A53D92">
      <w:pPr>
        <w:keepLines/>
        <w:spacing w:after="70"/>
        <w:ind w:left="259" w:hanging="173"/>
      </w:pPr>
      <w:r>
        <w:t>• Reasonable adjustments and access arrangements</w:t>
      </w:r>
    </w:p>
    <w:p w14:paraId="1A95D181" w14:textId="77777777" w:rsidR="004A028D" w:rsidRDefault="00A53D92">
      <w:pPr>
        <w:keepLines/>
        <w:spacing w:after="70"/>
        <w:ind w:left="259" w:hanging="173"/>
      </w:pPr>
      <w:r>
        <w:t xml:space="preserve">• </w:t>
      </w:r>
      <w:r>
        <w:t>Support for communication, regulation, executive functioning, literacy and numeracy</w:t>
      </w:r>
    </w:p>
    <w:p w14:paraId="0093006F" w14:textId="77777777" w:rsidR="004A028D" w:rsidRDefault="00A53D92">
      <w:pPr>
        <w:keepLines/>
        <w:spacing w:after="70"/>
        <w:ind w:left="259" w:hanging="173"/>
      </w:pPr>
      <w:r>
        <w:t>• Assistive technology and adapted resources where appropriate</w:t>
      </w:r>
    </w:p>
    <w:p w14:paraId="22844924" w14:textId="77777777" w:rsidR="004A028D" w:rsidRDefault="00A53D92">
      <w:pPr>
        <w:pStyle w:val="Heading2"/>
        <w:spacing w:before="140" w:after="60"/>
      </w:pPr>
      <w:r>
        <w:rPr>
          <w:rFonts w:ascii="Aptos" w:eastAsia="Aptos" w:hAnsi="Aptos"/>
          <w:color w:val="92278F"/>
          <w:sz w:val="23"/>
        </w:rPr>
        <w:t>6. EHCPs and Families</w:t>
      </w:r>
    </w:p>
    <w:p w14:paraId="47F6A100" w14:textId="77777777" w:rsidR="004A028D" w:rsidRDefault="00A53D92">
      <w:pPr>
        <w:keepLines/>
        <w:spacing w:after="70"/>
      </w:pPr>
      <w:r>
        <w:t>EHCP outcomes inform planning and are reviewed through statutory annual review processes. Pupils and parents/carers are involved in decisions and transition planning. The school communicates with relevant local authorities and professionals.</w:t>
      </w:r>
    </w:p>
    <w:p w14:paraId="5B8B67CF" w14:textId="77777777" w:rsidR="004A028D" w:rsidRDefault="00A53D92">
      <w:pPr>
        <w:pStyle w:val="Heading2"/>
        <w:spacing w:before="140" w:after="60"/>
      </w:pPr>
      <w:r>
        <w:rPr>
          <w:rFonts w:ascii="Aptos" w:eastAsia="Aptos" w:hAnsi="Aptos"/>
          <w:color w:val="92278F"/>
          <w:sz w:val="23"/>
        </w:rPr>
        <w:t>7. Inclusion and Accessibility</w:t>
      </w:r>
    </w:p>
    <w:p w14:paraId="0E1A5A73" w14:textId="77777777" w:rsidR="004A028D" w:rsidRDefault="00A53D92">
      <w:pPr>
        <w:keepLines/>
        <w:spacing w:after="70"/>
      </w:pPr>
      <w:r>
        <w:t>The school makes reasonable adjustments to improve curriculum access, the physical environment and access to information. Because parts of the building are not wheelchair accessible, accessible rooming and alternative arrangements are planned individually.</w:t>
      </w:r>
    </w:p>
    <w:p w14:paraId="240CB6FC" w14:textId="77777777" w:rsidR="004A028D" w:rsidRDefault="00A53D92">
      <w:pPr>
        <w:pStyle w:val="Heading2"/>
        <w:spacing w:before="140" w:after="60"/>
      </w:pPr>
      <w:r>
        <w:rPr>
          <w:rFonts w:ascii="Aptos" w:eastAsia="Aptos" w:hAnsi="Aptos"/>
          <w:color w:val="92278F"/>
          <w:sz w:val="23"/>
        </w:rPr>
        <w:t>8. External Agencies</w:t>
      </w:r>
    </w:p>
    <w:p w14:paraId="16D4A6C9" w14:textId="77777777" w:rsidR="004A028D" w:rsidRDefault="00A53D92">
      <w:pPr>
        <w:keepLines/>
        <w:spacing w:after="70"/>
      </w:pPr>
      <w:r>
        <w:t>The school works with educational psychology, speech and language therapy, occupational therapy, social communication services, CAMHS/health professionals, local authority SEND teams, social care, Virtual School services and other agencies where appropriate.</w:t>
      </w:r>
    </w:p>
    <w:p w14:paraId="770F1A33" w14:textId="77777777" w:rsidR="004A028D" w:rsidRDefault="00A53D92">
      <w:pPr>
        <w:pStyle w:val="Heading2"/>
        <w:spacing w:before="140" w:after="60"/>
      </w:pPr>
      <w:r>
        <w:rPr>
          <w:rFonts w:ascii="Aptos" w:eastAsia="Aptos" w:hAnsi="Aptos"/>
          <w:color w:val="92278F"/>
          <w:sz w:val="23"/>
        </w:rPr>
        <w:t>9. Safeguarding and Behaviour</w:t>
      </w:r>
    </w:p>
    <w:p w14:paraId="196D04AD" w14:textId="77777777" w:rsidR="004A028D" w:rsidRDefault="00A53D92">
      <w:pPr>
        <w:keepLines/>
        <w:spacing w:after="70"/>
      </w:pPr>
      <w:r>
        <w:t>SEND can increase safeguarding vulnerability or create barriers to communication. Staff follow the Safeguarding and Behaviour policies and consider SEND, trauma, communication and reasonable adjustments when responding to concerns.</w:t>
      </w:r>
    </w:p>
    <w:p w14:paraId="065914ED" w14:textId="77777777" w:rsidR="004A028D" w:rsidRDefault="00A53D92">
      <w:pPr>
        <w:pStyle w:val="Heading2"/>
        <w:keepNext w:val="0"/>
        <w:spacing w:before="20" w:after="40"/>
      </w:pPr>
      <w:r>
        <w:rPr>
          <w:rFonts w:ascii="Aptos" w:eastAsia="Aptos" w:hAnsi="Aptos"/>
          <w:b w:val="0"/>
          <w:color w:val="333333"/>
          <w:sz w:val="20"/>
        </w:rPr>
        <w:t>10. Admissions</w:t>
      </w:r>
    </w:p>
    <w:p w14:paraId="228484CB" w14:textId="77777777" w:rsidR="004A028D" w:rsidRDefault="00A53D92">
      <w:pPr>
        <w:keepLines/>
        <w:spacing w:after="70"/>
      </w:pPr>
      <w:r>
        <w:lastRenderedPageBreak/>
        <w:t>Admissions are governed by the school’s Admissions Policy. The school considers whether it can meet need safely and suitably, with reasonable adjustments, capacity and funding taken into account, and works with the relevant local authority where an EHCP placement is being considered.</w:t>
      </w:r>
    </w:p>
    <w:p w14:paraId="50E7182B" w14:textId="77777777" w:rsidR="004A028D" w:rsidRDefault="00A53D92">
      <w:pPr>
        <w:pStyle w:val="Heading2"/>
        <w:spacing w:before="140" w:after="60"/>
      </w:pPr>
      <w:r>
        <w:rPr>
          <w:rFonts w:ascii="Aptos" w:eastAsia="Aptos" w:hAnsi="Aptos"/>
          <w:color w:val="92278F"/>
          <w:sz w:val="23"/>
        </w:rPr>
        <w:t>11. Monitoring</w:t>
      </w:r>
    </w:p>
    <w:p w14:paraId="4C96FAD8" w14:textId="77777777" w:rsidR="004A028D" w:rsidRDefault="00A53D92">
      <w:pPr>
        <w:keepLines/>
        <w:spacing w:after="70"/>
      </w:pPr>
      <w:r>
        <w:t>Effectiveness is evaluated through progress from starting points, EHCP outcomes, attendance, behaviour, engagement, parent/pupil voice, interventions, academic outcomes and destinations. The SENCO and Headteacher review provision regularly.</w:t>
      </w:r>
    </w:p>
    <w:p w14:paraId="57220669" w14:textId="77777777" w:rsidR="004A028D" w:rsidRDefault="00A53D92">
      <w:pPr>
        <w:pStyle w:val="Heading2"/>
        <w:spacing w:before="140" w:after="60"/>
      </w:pPr>
      <w:r>
        <w:rPr>
          <w:rFonts w:ascii="Aptos" w:eastAsia="Aptos" w:hAnsi="Aptos"/>
          <w:color w:val="92278F"/>
          <w:sz w:val="23"/>
        </w:rPr>
        <w:t>12. Complaints</w:t>
      </w:r>
    </w:p>
    <w:p w14:paraId="4F5CD118" w14:textId="77777777" w:rsidR="004A028D" w:rsidRDefault="00A53D92">
      <w:pPr>
        <w:keepLines/>
        <w:spacing w:after="70"/>
      </w:pPr>
      <w:r>
        <w:t>SEND concerns should normally be raised with the SENCO or Headteacher first. Formal complaints are handled under the school Complaints Policy.</w:t>
      </w:r>
    </w:p>
    <w:p w14:paraId="36CE7596" w14:textId="77777777" w:rsidR="004A028D" w:rsidRDefault="004A028D">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2981DC9A" w14:textId="77777777" w:rsidR="004A028D" w:rsidRDefault="004A028D">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75F8C301" w14:textId="77777777" w:rsidR="004A028D" w:rsidRDefault="00A53D92">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635DED01" w14:textId="77777777" w:rsidR="004A028D" w:rsidRDefault="00A53D92">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255A3215" w14:textId="77777777" w:rsidR="004A028D" w:rsidRDefault="00A53D92">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104006A1" w14:textId="77777777" w:rsidR="004A028D" w:rsidRDefault="00A53D92">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034B0E68" w14:textId="77777777" w:rsidR="004A028D" w:rsidRDefault="00A53D92">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71745CEE" w14:textId="77777777" w:rsidR="004A028D" w:rsidRDefault="00A53D92">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181E1CAA" w14:textId="77777777" w:rsidR="004A028D" w:rsidRDefault="004A028D">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563E5616" w14:textId="77777777" w:rsidR="004A028D" w:rsidRDefault="004A028D">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307969E7" w14:textId="77777777" w:rsidR="004A028D" w:rsidRDefault="00A53D92">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3CE08993" w14:textId="77777777" w:rsidR="004A028D" w:rsidRDefault="004A028D">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0D0AB142" w14:textId="77777777" w:rsidR="004A028D" w:rsidRDefault="00A53D92">
            <w:pPr>
              <w:keepLines/>
              <w:spacing w:after="0"/>
            </w:pPr>
            <w:r>
              <w:rPr>
                <w:sz w:val="19"/>
              </w:rPr>
              <w:t>September 2027</w:t>
            </w:r>
          </w:p>
        </w:tc>
      </w:tr>
    </w:tbl>
    <w:p w14:paraId="1746ACEC" w14:textId="77777777" w:rsidR="00A53D92" w:rsidRDefault="00A53D92"/>
    <w:sectPr w:rsidR="00A53D92">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7F150" w14:textId="77777777" w:rsidR="00A53D92" w:rsidRDefault="00A53D92" w:rsidP="00DD6702">
      <w:pPr>
        <w:spacing w:after="0" w:line="240" w:lineRule="auto"/>
      </w:pPr>
      <w:r>
        <w:separator/>
      </w:r>
    </w:p>
  </w:endnote>
  <w:endnote w:type="continuationSeparator" w:id="0">
    <w:p w14:paraId="322C13C4" w14:textId="77777777" w:rsidR="00A53D92" w:rsidRDefault="00A53D92" w:rsidP="00DD6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ADB0F" w14:textId="77777777" w:rsidR="004A028D" w:rsidRDefault="004A0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18BB5" w14:textId="77777777" w:rsidR="00A53D92" w:rsidRDefault="00A53D92" w:rsidP="00DD6702">
      <w:pPr>
        <w:spacing w:after="0" w:line="240" w:lineRule="auto"/>
      </w:pPr>
      <w:r>
        <w:separator/>
      </w:r>
    </w:p>
  </w:footnote>
  <w:footnote w:type="continuationSeparator" w:id="0">
    <w:p w14:paraId="61FC8A09" w14:textId="77777777" w:rsidR="00A53D92" w:rsidRDefault="00A53D92" w:rsidP="00DD6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102C" w14:textId="54281D81" w:rsidR="00DD6702" w:rsidRDefault="00DD6702">
    <w:pPr>
      <w:pStyle w:val="Header"/>
      <w:pBdr>
        <w:bottom w:val="single" w:sz="10" w:space="3" w:color="92278F"/>
      </w:pBdr>
      <w:spacing w:after="40"/>
    </w:pPr>
    <w:r>
      <w:rPr>
        <w:noProof/>
      </w:rPr>
      <w:drawing>
        <wp:inline distT="0" distB="0" distL="0" distR="0" wp14:anchorId="534F504C" wp14:editId="24C85013">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0F01"/>
    <w:multiLevelType w:val="multilevel"/>
    <w:tmpl w:val="A01242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9745E2"/>
    <w:multiLevelType w:val="multilevel"/>
    <w:tmpl w:val="6B46D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BB037B"/>
    <w:multiLevelType w:val="hybridMultilevel"/>
    <w:tmpl w:val="6BCCD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95676"/>
    <w:multiLevelType w:val="multilevel"/>
    <w:tmpl w:val="6EF08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B07940"/>
    <w:multiLevelType w:val="multilevel"/>
    <w:tmpl w:val="CDEA2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F8437C"/>
    <w:multiLevelType w:val="multilevel"/>
    <w:tmpl w:val="4E6E2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650D3E"/>
    <w:multiLevelType w:val="multilevel"/>
    <w:tmpl w:val="845AF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AB68BD"/>
    <w:multiLevelType w:val="multilevel"/>
    <w:tmpl w:val="EE280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5751AF"/>
    <w:multiLevelType w:val="multilevel"/>
    <w:tmpl w:val="DF10E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9C09EF"/>
    <w:multiLevelType w:val="multilevel"/>
    <w:tmpl w:val="7E367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414278"/>
    <w:multiLevelType w:val="multilevel"/>
    <w:tmpl w:val="7BA258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1E418B"/>
    <w:multiLevelType w:val="multilevel"/>
    <w:tmpl w:val="6A301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7242A3"/>
    <w:multiLevelType w:val="multilevel"/>
    <w:tmpl w:val="792C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CA07DB"/>
    <w:multiLevelType w:val="multilevel"/>
    <w:tmpl w:val="02AC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310A74"/>
    <w:multiLevelType w:val="multilevel"/>
    <w:tmpl w:val="5A1A0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D45DDC"/>
    <w:multiLevelType w:val="multilevel"/>
    <w:tmpl w:val="21BA4D1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7011B08"/>
    <w:multiLevelType w:val="multilevel"/>
    <w:tmpl w:val="532C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B86803"/>
    <w:multiLevelType w:val="multilevel"/>
    <w:tmpl w:val="1058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9D6050"/>
    <w:multiLevelType w:val="multilevel"/>
    <w:tmpl w:val="426CB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0B143D"/>
    <w:multiLevelType w:val="multilevel"/>
    <w:tmpl w:val="3788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FC72EE"/>
    <w:multiLevelType w:val="multilevel"/>
    <w:tmpl w:val="E1E6F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4E42B0"/>
    <w:multiLevelType w:val="multilevel"/>
    <w:tmpl w:val="4E4E8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A1728B"/>
    <w:multiLevelType w:val="multilevel"/>
    <w:tmpl w:val="0F0A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1657136">
    <w:abstractNumId w:val="5"/>
  </w:num>
  <w:num w:numId="2" w16cid:durableId="2035184114">
    <w:abstractNumId w:val="7"/>
  </w:num>
  <w:num w:numId="3" w16cid:durableId="706681835">
    <w:abstractNumId w:val="6"/>
  </w:num>
  <w:num w:numId="4" w16cid:durableId="1222135455">
    <w:abstractNumId w:val="13"/>
  </w:num>
  <w:num w:numId="5" w16cid:durableId="257178998">
    <w:abstractNumId w:val="18"/>
  </w:num>
  <w:num w:numId="6" w16cid:durableId="715667447">
    <w:abstractNumId w:val="4"/>
  </w:num>
  <w:num w:numId="7" w16cid:durableId="662319216">
    <w:abstractNumId w:val="9"/>
  </w:num>
  <w:num w:numId="8" w16cid:durableId="730544486">
    <w:abstractNumId w:val="21"/>
  </w:num>
  <w:num w:numId="9" w16cid:durableId="1891309514">
    <w:abstractNumId w:val="11"/>
  </w:num>
  <w:num w:numId="10" w16cid:durableId="1608584308">
    <w:abstractNumId w:val="14"/>
  </w:num>
  <w:num w:numId="11" w16cid:durableId="687945486">
    <w:abstractNumId w:val="22"/>
  </w:num>
  <w:num w:numId="12" w16cid:durableId="1623531076">
    <w:abstractNumId w:val="17"/>
  </w:num>
  <w:num w:numId="13" w16cid:durableId="1571190314">
    <w:abstractNumId w:val="16"/>
  </w:num>
  <w:num w:numId="14" w16cid:durableId="2070103299">
    <w:abstractNumId w:val="20"/>
  </w:num>
  <w:num w:numId="15" w16cid:durableId="1748500887">
    <w:abstractNumId w:val="12"/>
  </w:num>
  <w:num w:numId="16" w16cid:durableId="1219631652">
    <w:abstractNumId w:val="3"/>
  </w:num>
  <w:num w:numId="17" w16cid:durableId="46999056">
    <w:abstractNumId w:val="1"/>
  </w:num>
  <w:num w:numId="18" w16cid:durableId="2064522599">
    <w:abstractNumId w:val="19"/>
  </w:num>
  <w:num w:numId="19" w16cid:durableId="1259945294">
    <w:abstractNumId w:val="2"/>
  </w:num>
  <w:num w:numId="20" w16cid:durableId="1429234409">
    <w:abstractNumId w:val="0"/>
  </w:num>
  <w:num w:numId="21" w16cid:durableId="333805223">
    <w:abstractNumId w:val="8"/>
  </w:num>
  <w:num w:numId="22" w16cid:durableId="484249927">
    <w:abstractNumId w:val="10"/>
  </w:num>
  <w:num w:numId="23" w16cid:durableId="67688245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702"/>
    <w:rsid w:val="0006670A"/>
    <w:rsid w:val="000A1B23"/>
    <w:rsid w:val="000C4926"/>
    <w:rsid w:val="001868AD"/>
    <w:rsid w:val="001D6FE5"/>
    <w:rsid w:val="00221EFF"/>
    <w:rsid w:val="00234327"/>
    <w:rsid w:val="00277EB0"/>
    <w:rsid w:val="002C3303"/>
    <w:rsid w:val="0035404C"/>
    <w:rsid w:val="00376CB5"/>
    <w:rsid w:val="003B666B"/>
    <w:rsid w:val="003E42B8"/>
    <w:rsid w:val="00404650"/>
    <w:rsid w:val="00404C79"/>
    <w:rsid w:val="004A028D"/>
    <w:rsid w:val="004A0619"/>
    <w:rsid w:val="004C1B22"/>
    <w:rsid w:val="004C461F"/>
    <w:rsid w:val="004E4C1B"/>
    <w:rsid w:val="00596EE2"/>
    <w:rsid w:val="005B1D34"/>
    <w:rsid w:val="00654CDC"/>
    <w:rsid w:val="006633FB"/>
    <w:rsid w:val="00766B0E"/>
    <w:rsid w:val="007B6265"/>
    <w:rsid w:val="007D594B"/>
    <w:rsid w:val="007E5496"/>
    <w:rsid w:val="00811572"/>
    <w:rsid w:val="00821829"/>
    <w:rsid w:val="00894699"/>
    <w:rsid w:val="00924BC0"/>
    <w:rsid w:val="00941EBA"/>
    <w:rsid w:val="00944AEA"/>
    <w:rsid w:val="009B5093"/>
    <w:rsid w:val="00A04DC6"/>
    <w:rsid w:val="00A53D92"/>
    <w:rsid w:val="00B03E95"/>
    <w:rsid w:val="00B22336"/>
    <w:rsid w:val="00B8324B"/>
    <w:rsid w:val="00B85EA4"/>
    <w:rsid w:val="00B9259C"/>
    <w:rsid w:val="00BA3AA7"/>
    <w:rsid w:val="00C32F88"/>
    <w:rsid w:val="00CA15F3"/>
    <w:rsid w:val="00D34949"/>
    <w:rsid w:val="00DB41E6"/>
    <w:rsid w:val="00DD6702"/>
    <w:rsid w:val="00DE7896"/>
    <w:rsid w:val="00E13108"/>
    <w:rsid w:val="00E225F3"/>
    <w:rsid w:val="00FB3629"/>
    <w:rsid w:val="0D0B4A69"/>
    <w:rsid w:val="47D80B50"/>
    <w:rsid w:val="7C7DF3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BBB7A"/>
  <w15:chartTrackingRefBased/>
  <w15:docId w15:val="{A714EDA1-A664-4E8D-BB32-0CF68B639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702"/>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DD6702"/>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DD6702"/>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DD6702"/>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DD6702"/>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DD67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67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67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67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67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67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67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67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67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67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67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67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67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6702"/>
    <w:rPr>
      <w:rFonts w:eastAsiaTheme="majorEastAsia" w:cstheme="majorBidi"/>
      <w:color w:val="272727" w:themeColor="text1" w:themeTint="D8"/>
    </w:rPr>
  </w:style>
  <w:style w:type="paragraph" w:styleId="Title">
    <w:name w:val="Title"/>
    <w:basedOn w:val="Normal"/>
    <w:next w:val="Normal"/>
    <w:link w:val="TitleChar"/>
    <w:uiPriority w:val="10"/>
    <w:qFormat/>
    <w:rsid w:val="00DD6702"/>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DD67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67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67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6702"/>
    <w:pPr>
      <w:spacing w:before="160"/>
      <w:jc w:val="center"/>
    </w:pPr>
    <w:rPr>
      <w:i/>
      <w:iCs/>
      <w:color w:val="404040" w:themeColor="text1" w:themeTint="BF"/>
    </w:rPr>
  </w:style>
  <w:style w:type="character" w:customStyle="1" w:styleId="QuoteChar">
    <w:name w:val="Quote Char"/>
    <w:basedOn w:val="DefaultParagraphFont"/>
    <w:link w:val="Quote"/>
    <w:uiPriority w:val="29"/>
    <w:rsid w:val="00DD6702"/>
    <w:rPr>
      <w:i/>
      <w:iCs/>
      <w:color w:val="404040" w:themeColor="text1" w:themeTint="BF"/>
    </w:rPr>
  </w:style>
  <w:style w:type="paragraph" w:styleId="ListParagraph">
    <w:name w:val="List Paragraph"/>
    <w:basedOn w:val="Normal"/>
    <w:uiPriority w:val="34"/>
    <w:qFormat/>
    <w:rsid w:val="00DD6702"/>
    <w:pPr>
      <w:ind w:left="720"/>
      <w:contextualSpacing/>
    </w:pPr>
  </w:style>
  <w:style w:type="character" w:styleId="IntenseEmphasis">
    <w:name w:val="Intense Emphasis"/>
    <w:basedOn w:val="DefaultParagraphFont"/>
    <w:uiPriority w:val="21"/>
    <w:qFormat/>
    <w:rsid w:val="00DD6702"/>
    <w:rPr>
      <w:i/>
      <w:iCs/>
      <w:color w:val="0F4761" w:themeColor="accent1" w:themeShade="BF"/>
    </w:rPr>
  </w:style>
  <w:style w:type="paragraph" w:styleId="IntenseQuote">
    <w:name w:val="Intense Quote"/>
    <w:basedOn w:val="Normal"/>
    <w:next w:val="Normal"/>
    <w:link w:val="IntenseQuoteChar"/>
    <w:uiPriority w:val="30"/>
    <w:qFormat/>
    <w:rsid w:val="00DD67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6702"/>
    <w:rPr>
      <w:i/>
      <w:iCs/>
      <w:color w:val="0F4761" w:themeColor="accent1" w:themeShade="BF"/>
    </w:rPr>
  </w:style>
  <w:style w:type="character" w:styleId="IntenseReference">
    <w:name w:val="Intense Reference"/>
    <w:basedOn w:val="DefaultParagraphFont"/>
    <w:uiPriority w:val="32"/>
    <w:qFormat/>
    <w:rsid w:val="00DD6702"/>
    <w:rPr>
      <w:b/>
      <w:bCs/>
      <w:smallCaps/>
      <w:color w:val="0F4761" w:themeColor="accent1" w:themeShade="BF"/>
      <w:spacing w:val="5"/>
    </w:rPr>
  </w:style>
  <w:style w:type="paragraph" w:styleId="Header">
    <w:name w:val="header"/>
    <w:basedOn w:val="Normal"/>
    <w:link w:val="HeaderChar"/>
    <w:uiPriority w:val="99"/>
    <w:unhideWhenUsed/>
    <w:rsid w:val="00DD67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6702"/>
  </w:style>
  <w:style w:type="paragraph" w:styleId="Footer">
    <w:name w:val="footer"/>
    <w:basedOn w:val="Normal"/>
    <w:link w:val="FooterChar"/>
    <w:uiPriority w:val="99"/>
    <w:unhideWhenUsed/>
    <w:rsid w:val="00DD67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6702"/>
  </w:style>
  <w:style w:type="table" w:styleId="TableGrid">
    <w:name w:val="Table Grid"/>
    <w:basedOn w:val="TableNormal"/>
    <w:uiPriority w:val="59"/>
    <w:rsid w:val="00DD6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54A666-815C-41E0-B1DD-2031A5B15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EB3155-655B-4362-AA11-E1EC078C17A4}">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3.xml><?xml version="1.0" encoding="utf-8"?>
<ds:datastoreItem xmlns:ds="http://schemas.openxmlformats.org/officeDocument/2006/customXml" ds:itemID="{F1FF1E40-CC21-463D-887B-D5E234B797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2829</Characters>
  <Application>Microsoft Office Word</Application>
  <DocSecurity>0</DocSecurity>
  <Lines>23</Lines>
  <Paragraphs>6</Paragraphs>
  <ScaleCrop>false</ScaleCrop>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42</cp:revision>
  <dcterms:created xsi:type="dcterms:W3CDTF">2025-08-08T10:47:00Z</dcterms:created>
  <dcterms:modified xsi:type="dcterms:W3CDTF">2026-09-09T10:48:00Z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