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1C8CA" w14:textId="77777777" w:rsidR="00361669" w:rsidRDefault="001562EB">
      <w:pPr>
        <w:pStyle w:val="Heading1"/>
        <w:spacing w:before="100" w:after="200"/>
        <w:jc w:val="center"/>
      </w:pPr>
      <w:r>
        <w:rPr>
          <w:rFonts w:ascii="Aptos" w:eastAsia="Aptos" w:hAnsi="Aptos"/>
          <w:color w:val="6F1E6C"/>
          <w:sz w:val="34"/>
        </w:rPr>
        <w:t>Relationships, Sex and Health Education (RSHE) Policy</w:t>
      </w:r>
    </w:p>
    <w:p w14:paraId="2350E233" w14:textId="77777777" w:rsidR="00361669" w:rsidRDefault="00361669">
      <w:pPr>
        <w:spacing w:after="40"/>
      </w:pPr>
    </w:p>
    <w:p w14:paraId="710278E5" w14:textId="77777777" w:rsidR="00361669" w:rsidRDefault="001562EB">
      <w:pPr>
        <w:pStyle w:val="Heading2"/>
        <w:spacing w:before="140" w:after="60"/>
      </w:pPr>
      <w:r>
        <w:rPr>
          <w:rFonts w:ascii="Aptos" w:eastAsia="Aptos" w:hAnsi="Aptos"/>
          <w:color w:val="92278F"/>
          <w:sz w:val="23"/>
        </w:rPr>
        <w:t>1. Purpose</w:t>
      </w:r>
    </w:p>
    <w:p w14:paraId="06E4D624" w14:textId="77777777" w:rsidR="00361669" w:rsidRDefault="001562EB">
      <w:pPr>
        <w:keepLines/>
        <w:spacing w:after="70"/>
      </w:pPr>
      <w:r>
        <w:t>RSHE helps pupils understand healthy relationships, consent, safety, wellbeing, rights, responsibilities and preparation for adult life. Teaching is appropriate to age and maturity, adapted for SEND and delivered in a factual, respectful and inclusive way.</w:t>
      </w:r>
    </w:p>
    <w:p w14:paraId="13F7DAC1" w14:textId="77777777" w:rsidR="00361669" w:rsidRDefault="001562EB">
      <w:pPr>
        <w:pStyle w:val="Heading2"/>
        <w:spacing w:before="140" w:after="60"/>
      </w:pPr>
      <w:r>
        <w:rPr>
          <w:rFonts w:ascii="Aptos" w:eastAsia="Aptos" w:hAnsi="Aptos"/>
          <w:color w:val="92278F"/>
          <w:sz w:val="23"/>
        </w:rPr>
        <w:t>2. Statutory and Regulatory Framework</w:t>
      </w:r>
    </w:p>
    <w:p w14:paraId="268FD004" w14:textId="77777777" w:rsidR="00361669" w:rsidRDefault="001562EB">
      <w:pPr>
        <w:keepLines/>
        <w:spacing w:after="70"/>
      </w:pPr>
      <w:r>
        <w:t>From 1 September 2026 the school has regard to the revised statutory Relationships Education, Relationships and Sex Education and Health Education guidance. RSE requirements apply to independent schools. Health and personal development education are also provided through the Independent School Standards and the school’s wider PSHE curriculum.</w:t>
      </w:r>
    </w:p>
    <w:p w14:paraId="762C023D" w14:textId="77777777" w:rsidR="00361669" w:rsidRDefault="001562EB">
      <w:pPr>
        <w:pStyle w:val="Heading2"/>
        <w:spacing w:before="140" w:after="60"/>
      </w:pPr>
      <w:r>
        <w:rPr>
          <w:rFonts w:ascii="Aptos" w:eastAsia="Aptos" w:hAnsi="Aptos"/>
          <w:color w:val="92278F"/>
          <w:sz w:val="23"/>
        </w:rPr>
        <w:t>3. Curriculum Delivery</w:t>
      </w:r>
    </w:p>
    <w:p w14:paraId="115EE7BB" w14:textId="77777777" w:rsidR="00361669" w:rsidRDefault="001562EB">
      <w:pPr>
        <w:keepLines/>
        <w:spacing w:after="70"/>
      </w:pPr>
      <w:r>
        <w:t>RSHE is taught through PSHE, Citizenship, Science, the Pathways Extension Programme (PEP), pastoral work and other suitable curriculum opportunities. From 2026/27 pupils complete three ASDAN-linked PSHE modules across the academic year, selected to provide age-appropriate progression.</w:t>
      </w:r>
    </w:p>
    <w:p w14:paraId="00ECB74C" w14:textId="77777777" w:rsidR="00361669" w:rsidRDefault="001562EB">
      <w:pPr>
        <w:pStyle w:val="Heading2"/>
        <w:spacing w:before="140" w:after="60"/>
      </w:pPr>
      <w:r>
        <w:rPr>
          <w:rFonts w:ascii="Aptos" w:eastAsia="Aptos" w:hAnsi="Aptos"/>
          <w:color w:val="92278F"/>
          <w:sz w:val="23"/>
        </w:rPr>
        <w:t>4. Core Content</w:t>
      </w:r>
    </w:p>
    <w:p w14:paraId="1440813B" w14:textId="77777777" w:rsidR="00361669" w:rsidRDefault="001562EB">
      <w:pPr>
        <w:keepLines/>
        <w:spacing w:after="70"/>
        <w:ind w:left="259" w:hanging="173"/>
      </w:pPr>
      <w:r>
        <w:t>• Healthy, respectful relationships and friendships</w:t>
      </w:r>
    </w:p>
    <w:p w14:paraId="09AA64C4" w14:textId="77777777" w:rsidR="00361669" w:rsidRDefault="001562EB">
      <w:pPr>
        <w:keepLines/>
        <w:spacing w:after="70"/>
        <w:ind w:left="259" w:hanging="173"/>
      </w:pPr>
      <w:r>
        <w:t>• Consent, boundaries, pressure and coercive control</w:t>
      </w:r>
    </w:p>
    <w:p w14:paraId="68E8783F" w14:textId="77777777" w:rsidR="00361669" w:rsidRDefault="001562EB">
      <w:pPr>
        <w:keepLines/>
        <w:spacing w:after="70"/>
        <w:ind w:left="259" w:hanging="173"/>
      </w:pPr>
      <w:r>
        <w:t>• Sexual health, contraception and intimate relationships at an appropriate level</w:t>
      </w:r>
    </w:p>
    <w:p w14:paraId="395A048E" w14:textId="77777777" w:rsidR="00361669" w:rsidRDefault="001562EB">
      <w:pPr>
        <w:keepLines/>
        <w:spacing w:after="70"/>
        <w:ind w:left="259" w:hanging="173"/>
      </w:pPr>
      <w:r>
        <w:t>• Online relationships, pornography and harmful online content, including how pornography can distort expectations of sex, consent and relationships</w:t>
      </w:r>
    </w:p>
    <w:p w14:paraId="4D6DA0E3" w14:textId="77777777" w:rsidR="00361669" w:rsidRDefault="001562EB">
      <w:pPr>
        <w:keepLines/>
        <w:spacing w:after="70"/>
        <w:ind w:left="259" w:hanging="173"/>
      </w:pPr>
      <w:r>
        <w:t>• Sexual harassment and sexual violence, stalking, public sexual harassment, upskirting, intimate-image abuse, self-generated intimate images, AI/deepfakes and where age-appropriate the risks of financial sexual exploitation</w:t>
      </w:r>
    </w:p>
    <w:p w14:paraId="01C2147D" w14:textId="77777777" w:rsidR="00361669" w:rsidRDefault="001562EB">
      <w:pPr>
        <w:keepLines/>
        <w:spacing w:after="70"/>
        <w:ind w:left="259" w:hanging="173"/>
      </w:pPr>
      <w:r>
        <w:t>• Physical health, mental wellbeing and help-seeking</w:t>
      </w:r>
    </w:p>
    <w:p w14:paraId="0D98A1BB" w14:textId="77777777" w:rsidR="00361669" w:rsidRDefault="001562EB">
      <w:pPr>
        <w:keepLines/>
        <w:spacing w:after="70"/>
        <w:ind w:left="259" w:hanging="173"/>
      </w:pPr>
      <w:r>
        <w:t>• Equality, protected characteristics, respectful disagreement, sexism and misogyny, violence against women and girls, and positive, non-stereotyped ideas about masculinity and femininity</w:t>
      </w:r>
    </w:p>
    <w:p w14:paraId="33813DC1" w14:textId="77777777" w:rsidR="00361669" w:rsidRDefault="001562EB">
      <w:pPr>
        <w:keepLines/>
        <w:spacing w:after="70"/>
        <w:ind w:left="259" w:hanging="173"/>
      </w:pPr>
      <w:r>
        <w:t>• Safety, exploitation, criminal behaviour and risk</w:t>
      </w:r>
    </w:p>
    <w:p w14:paraId="002AF626" w14:textId="77777777" w:rsidR="00361669" w:rsidRDefault="001562EB">
      <w:pPr>
        <w:keepLines/>
        <w:spacing w:after="70"/>
        <w:ind w:left="259" w:hanging="173"/>
      </w:pPr>
      <w:r>
        <w:t>• Independent living, careers and preparation for adulthood where relevant</w:t>
      </w:r>
    </w:p>
    <w:p w14:paraId="0B31CBE7" w14:textId="77777777" w:rsidR="00361669" w:rsidRDefault="001562EB">
      <w:pPr>
        <w:pStyle w:val="Heading2"/>
        <w:spacing w:before="140" w:after="60"/>
      </w:pPr>
      <w:r>
        <w:rPr>
          <w:rFonts w:ascii="Aptos" w:eastAsia="Aptos" w:hAnsi="Aptos"/>
          <w:color w:val="92278F"/>
          <w:sz w:val="23"/>
        </w:rPr>
        <w:t>5. SEND and Inclusion</w:t>
      </w:r>
    </w:p>
    <w:p w14:paraId="106803F6" w14:textId="77777777" w:rsidR="00361669" w:rsidRDefault="001562EB">
      <w:pPr>
        <w:keepLines/>
        <w:spacing w:after="70"/>
      </w:pPr>
      <w:r>
        <w:t>Teaching is adapted using clear language, visuals, repetition, pre-teaching, choice, reduced social pressure and other reasonable adjustments. Staff avoid assuming that all pupils can manage role-play, group discussion or public presentation. Content remains ambitious while being accessible.</w:t>
      </w:r>
    </w:p>
    <w:p w14:paraId="016CA836" w14:textId="77777777" w:rsidR="00361669" w:rsidRDefault="001562EB">
      <w:pPr>
        <w:pStyle w:val="Heading2"/>
        <w:spacing w:before="140" w:after="60"/>
      </w:pPr>
      <w:r>
        <w:rPr>
          <w:rFonts w:ascii="Aptos" w:eastAsia="Aptos" w:hAnsi="Aptos"/>
          <w:color w:val="92278F"/>
          <w:sz w:val="23"/>
        </w:rPr>
        <w:t>6. Sensitive and Contested Issues</w:t>
      </w:r>
    </w:p>
    <w:p w14:paraId="407DDE85" w14:textId="77777777" w:rsidR="00361669" w:rsidRDefault="001562EB">
      <w:pPr>
        <w:keepLines/>
        <w:spacing w:after="70"/>
      </w:pPr>
      <w:r>
        <w:t>Staff present factual information appropriately, distinguish fact from opinion, avoid political indoctrination and create a safe environment for questions. Safeguarding disclosures or concerns arising in RSHE are handled under the Child Protection and Safeguarding Policy.</w:t>
      </w:r>
    </w:p>
    <w:p w14:paraId="37CE6DAC" w14:textId="77777777" w:rsidR="00361669" w:rsidRDefault="001562EB">
      <w:pPr>
        <w:pStyle w:val="Heading2"/>
        <w:spacing w:before="140" w:after="60"/>
      </w:pPr>
      <w:r>
        <w:rPr>
          <w:rFonts w:ascii="Aptos" w:eastAsia="Aptos" w:hAnsi="Aptos"/>
          <w:color w:val="92278F"/>
          <w:sz w:val="23"/>
        </w:rPr>
        <w:t>7. External Speakers and Resources</w:t>
      </w:r>
    </w:p>
    <w:p w14:paraId="0552228D" w14:textId="77777777" w:rsidR="00361669" w:rsidRDefault="001562EB">
      <w:pPr>
        <w:keepLines/>
        <w:spacing w:after="70"/>
      </w:pPr>
      <w:r>
        <w:t>External speakers or organisations may contribute where approved by Mario Di Clemente or Irvine Turner. The school remains responsible for content, safeguarding, suitability and supervision.</w:t>
      </w:r>
    </w:p>
    <w:p w14:paraId="3B041E24" w14:textId="77777777" w:rsidR="00361669" w:rsidRDefault="001562EB">
      <w:pPr>
        <w:pStyle w:val="Heading2"/>
        <w:spacing w:before="140" w:after="60"/>
      </w:pPr>
      <w:r>
        <w:rPr>
          <w:rFonts w:ascii="Aptos" w:eastAsia="Aptos" w:hAnsi="Aptos"/>
          <w:color w:val="92278F"/>
          <w:sz w:val="23"/>
        </w:rPr>
        <w:lastRenderedPageBreak/>
        <w:t>8. Parents, Consultation and Right to Withdraw</w:t>
      </w:r>
    </w:p>
    <w:p w14:paraId="28051748" w14:textId="77777777" w:rsidR="00361669" w:rsidRDefault="001562EB">
      <w:pPr>
        <w:keepLines/>
        <w:spacing w:after="70"/>
      </w:pPr>
      <w:r>
        <w:t>The school will make clear information available to parents/carers about what RSHE is taught and when, and will consult parents when developing or reviewing this policy. Parents may request that their child is withdrawn from some or all sex education delivered as part of RSE, other than content taught through science. The Headteacher will discuss the request with the parent/carer and, where appropriate, the pupil, explain the purpose of the curriculum and keep a record of the decision. Except in exceptional</w:t>
      </w:r>
      <w:r>
        <w:t xml:space="preserve"> circumstances, a request will be respected up to and until three terms before the pupil turns 16. After that point, if the pupil wishes to receive sex education, the school will make arrangements for this during one of those terms. There is no right to withdraw from Relationships Education or science content. A pupil who is withdrawn will receive appropriate, purposeful education during the affected lesson.</w:t>
      </w:r>
    </w:p>
    <w:p w14:paraId="665AF494" w14:textId="77777777" w:rsidR="00361669" w:rsidRDefault="001562EB">
      <w:pPr>
        <w:pStyle w:val="Heading2"/>
        <w:spacing w:before="140" w:after="60"/>
      </w:pPr>
      <w:r>
        <w:rPr>
          <w:rFonts w:ascii="Aptos" w:eastAsia="Aptos" w:hAnsi="Aptos"/>
          <w:color w:val="92278F"/>
          <w:sz w:val="23"/>
        </w:rPr>
        <w:t>9. Assessment and Review</w:t>
      </w:r>
    </w:p>
    <w:p w14:paraId="4A65C049" w14:textId="77777777" w:rsidR="00361669" w:rsidRDefault="001562EB">
      <w:pPr>
        <w:keepLines/>
        <w:spacing w:after="70"/>
      </w:pPr>
      <w:r>
        <w:t>Understanding is assessed through normal classwork, discussion, reflection and relevant ASDAN evidence. The Headteacher monitors the programme and ensures that curriculum documents show progression across year groups. A small amount of PEP content is referenced here; detailed progression remains in curriculum plans. Parent, pupil and staff views are considered as part of policy and curriculum review.</w:t>
      </w:r>
    </w:p>
    <w:p w14:paraId="3C8E8749" w14:textId="77777777" w:rsidR="00361669" w:rsidRDefault="00361669">
      <w:pPr>
        <w:spacing w:before="120"/>
      </w:pPr>
    </w:p>
    <w:tbl>
      <w:tblPr>
        <w:tblStyle w:val="TableGrid"/>
        <w:tblW w:w="0" w:type="auto"/>
        <w:jc w:val="center"/>
        <w:tblLook w:val="04A0" w:firstRow="1" w:lastRow="0" w:firstColumn="1" w:lastColumn="0" w:noHBand="0" w:noVBand="1"/>
      </w:tblPr>
      <w:tblGrid>
        <w:gridCol w:w="2689"/>
        <w:gridCol w:w="4961"/>
        <w:gridCol w:w="1366"/>
      </w:tblGrid>
      <w:tr w:rsidR="00283B27" w:rsidRPr="00283B27" w14:paraId="1D33548F" w14:textId="77777777" w:rsidTr="00EE2FEB">
        <w:trPr>
          <w:cantSplit/>
          <w:tblHeader/>
          <w:jc w:val="center"/>
        </w:trPr>
        <w:tc>
          <w:tcPr>
            <w:tcW w:w="2689"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hideMark/>
          </w:tcPr>
          <w:p w14:paraId="42E8E265" w14:textId="77777777" w:rsidR="00361669" w:rsidRDefault="00361669">
            <w:pPr>
              <w:keepNext/>
              <w:keepLines/>
              <w:spacing w:after="0"/>
            </w:pPr>
          </w:p>
        </w:tc>
        <w:tc>
          <w:tcPr>
            <w:tcW w:w="4961"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tcPr>
          <w:p w14:paraId="7B422596" w14:textId="77777777" w:rsidR="00361669" w:rsidRDefault="001562EB">
            <w:pPr>
              <w:keepNext/>
              <w:keepLines/>
              <w:spacing w:after="0"/>
            </w:pPr>
            <w:r>
              <w:rPr>
                <w:b/>
                <w:color w:val="FFFFFF"/>
                <w:sz w:val="19"/>
              </w:rPr>
              <w:t>By whom</w:t>
            </w:r>
          </w:p>
        </w:tc>
        <w:tc>
          <w:tcPr>
            <w:tcW w:w="1366"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hideMark/>
          </w:tcPr>
          <w:p w14:paraId="33A8F716" w14:textId="77777777" w:rsidR="00361669" w:rsidRDefault="001562EB">
            <w:pPr>
              <w:keepNext/>
              <w:keepLines/>
              <w:spacing w:after="0"/>
            </w:pPr>
            <w:r>
              <w:rPr>
                <w:b/>
                <w:color w:val="FFFFFF"/>
                <w:sz w:val="19"/>
              </w:rPr>
              <w:t>Date</w:t>
            </w:r>
          </w:p>
        </w:tc>
      </w:tr>
      <w:tr w:rsidR="00283B27" w:rsidRPr="00283B27" w14:paraId="3F11DF17"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741BC9C0" w14:textId="77777777" w:rsidR="00361669" w:rsidRDefault="001562EB">
            <w:pPr>
              <w:keepNext/>
              <w:keepLines/>
              <w:spacing w:after="0"/>
            </w:pPr>
            <w:r>
              <w:rPr>
                <w:b/>
                <w:color w:val="6F1E6C"/>
                <w:sz w:val="19"/>
              </w:rPr>
              <w:t>Policy signed off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6917C4E2" w14:textId="77777777" w:rsidR="00361669" w:rsidRDefault="001562EB">
            <w:pPr>
              <w:keepNext/>
              <w:keepLines/>
              <w:spacing w:after="0"/>
            </w:pPr>
            <w:r>
              <w:rPr>
                <w:sz w:val="19"/>
              </w:rPr>
              <w:t>Mario Di Clemente</w:t>
            </w: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4FE8EEF0" w14:textId="77777777" w:rsidR="00361669" w:rsidRDefault="001562EB">
            <w:pPr>
              <w:keepNext/>
              <w:keepLines/>
              <w:spacing w:after="0"/>
            </w:pPr>
            <w:r>
              <w:rPr>
                <w:sz w:val="19"/>
              </w:rPr>
              <w:t>September 2026</w:t>
            </w:r>
          </w:p>
        </w:tc>
      </w:tr>
      <w:tr w:rsidR="00283B27" w:rsidRPr="00283B27" w14:paraId="4086C936"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3623490D" w14:textId="77777777" w:rsidR="00361669" w:rsidRDefault="001562EB">
            <w:pPr>
              <w:keepNext/>
              <w:keepLines/>
              <w:spacing w:after="0"/>
            </w:pPr>
            <w:r>
              <w:rPr>
                <w:b/>
                <w:color w:val="6F1E6C"/>
                <w:sz w:val="19"/>
              </w:rPr>
              <w:t>Reviewed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02B645BA" w14:textId="77777777" w:rsidR="00361669" w:rsidRDefault="00361669">
            <w:pPr>
              <w:keepNext/>
              <w:keepLines/>
              <w:spacing w:after="0"/>
            </w:pP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259DA76B" w14:textId="77777777" w:rsidR="00361669" w:rsidRDefault="00361669">
            <w:pPr>
              <w:keepNext/>
              <w:keepLines/>
              <w:spacing w:after="0"/>
            </w:pPr>
          </w:p>
        </w:tc>
      </w:tr>
      <w:tr w:rsidR="00283B27" w:rsidRPr="00283B27" w14:paraId="6547DADA"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2C2C8C37" w14:textId="77777777" w:rsidR="00361669" w:rsidRDefault="001562EB">
            <w:pPr>
              <w:keepLines/>
              <w:spacing w:after="0"/>
            </w:pPr>
            <w:r>
              <w:rPr>
                <w:b/>
                <w:color w:val="6F1E6C"/>
                <w:sz w:val="19"/>
              </w:rPr>
              <w:t>Next Review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440BEA61" w14:textId="77777777" w:rsidR="00361669" w:rsidRDefault="00361669">
            <w:pPr>
              <w:keepLines/>
              <w:spacing w:after="0"/>
            </w:pP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182B6142" w14:textId="77777777" w:rsidR="00361669" w:rsidRDefault="001562EB">
            <w:pPr>
              <w:keepLines/>
              <w:spacing w:after="0"/>
            </w:pPr>
            <w:r>
              <w:rPr>
                <w:sz w:val="19"/>
              </w:rPr>
              <w:t>September 2027</w:t>
            </w:r>
          </w:p>
        </w:tc>
      </w:tr>
    </w:tbl>
    <w:p w14:paraId="5817418D" w14:textId="77777777" w:rsidR="001562EB" w:rsidRDefault="001562EB"/>
    <w:sectPr w:rsidR="001562EB">
      <w:headerReference w:type="default" r:id="rId10"/>
      <w:footerReference w:type="default" r:id="rId11"/>
      <w:pgSz w:w="11906" w:h="16838"/>
      <w:pgMar w:top="1037" w:right="1037" w:bottom="1037" w:left="1037" w:header="259" w:footer="3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F897B" w14:textId="77777777" w:rsidR="001562EB" w:rsidRDefault="001562EB" w:rsidP="00C27FCF">
      <w:pPr>
        <w:spacing w:after="0" w:line="240" w:lineRule="auto"/>
      </w:pPr>
      <w:r>
        <w:separator/>
      </w:r>
    </w:p>
  </w:endnote>
  <w:endnote w:type="continuationSeparator" w:id="0">
    <w:p w14:paraId="76D217AA" w14:textId="77777777" w:rsidR="001562EB" w:rsidRDefault="001562EB" w:rsidP="00C27F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3D32D" w14:textId="77777777" w:rsidR="00361669" w:rsidRDefault="003616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39EA2" w14:textId="77777777" w:rsidR="001562EB" w:rsidRDefault="001562EB" w:rsidP="00C27FCF">
      <w:pPr>
        <w:spacing w:after="0" w:line="240" w:lineRule="auto"/>
      </w:pPr>
      <w:r>
        <w:separator/>
      </w:r>
    </w:p>
  </w:footnote>
  <w:footnote w:type="continuationSeparator" w:id="0">
    <w:p w14:paraId="55BA178F" w14:textId="77777777" w:rsidR="001562EB" w:rsidRDefault="001562EB" w:rsidP="00C27F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E6A6B" w14:textId="467F42B1" w:rsidR="00C27FCF" w:rsidRDefault="00C27FCF">
    <w:pPr>
      <w:pStyle w:val="Header"/>
      <w:pBdr>
        <w:bottom w:val="single" w:sz="10" w:space="3" w:color="92278F"/>
      </w:pBdr>
      <w:spacing w:after="40"/>
    </w:pPr>
    <w:r>
      <w:rPr>
        <w:noProof/>
      </w:rPr>
      <w:drawing>
        <wp:inline distT="0" distB="0" distL="0" distR="0" wp14:anchorId="35956590" wp14:editId="3F660886">
          <wp:extent cx="2148840" cy="6485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tretch>
                    <a:fillRect/>
                  </a:stretch>
                </pic:blipFill>
                <pic:spPr>
                  <a:xfrm>
                    <a:off x="0" y="0"/>
                    <a:ext cx="2148840" cy="64852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3419F"/>
    <w:multiLevelType w:val="multilevel"/>
    <w:tmpl w:val="705857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0211A1"/>
    <w:multiLevelType w:val="multilevel"/>
    <w:tmpl w:val="E99A3E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CB6E42"/>
    <w:multiLevelType w:val="multilevel"/>
    <w:tmpl w:val="51DA9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A34E1A"/>
    <w:multiLevelType w:val="multilevel"/>
    <w:tmpl w:val="F57EA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C439CC"/>
    <w:multiLevelType w:val="multilevel"/>
    <w:tmpl w:val="10669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7D4619"/>
    <w:multiLevelType w:val="multilevel"/>
    <w:tmpl w:val="E55A6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3C6601"/>
    <w:multiLevelType w:val="multilevel"/>
    <w:tmpl w:val="1638C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486AB7"/>
    <w:multiLevelType w:val="multilevel"/>
    <w:tmpl w:val="5FE2B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070A5E"/>
    <w:multiLevelType w:val="multilevel"/>
    <w:tmpl w:val="E80CD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B550B3"/>
    <w:multiLevelType w:val="multilevel"/>
    <w:tmpl w:val="6D2E2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C05064"/>
    <w:multiLevelType w:val="multilevel"/>
    <w:tmpl w:val="A7C6E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2F7177"/>
    <w:multiLevelType w:val="multilevel"/>
    <w:tmpl w:val="68E46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A1460A"/>
    <w:multiLevelType w:val="multilevel"/>
    <w:tmpl w:val="6C461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081DAD"/>
    <w:multiLevelType w:val="multilevel"/>
    <w:tmpl w:val="3BA22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2A3922"/>
    <w:multiLevelType w:val="multilevel"/>
    <w:tmpl w:val="FA02A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2D5719"/>
    <w:multiLevelType w:val="multilevel"/>
    <w:tmpl w:val="551A49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D87E26"/>
    <w:multiLevelType w:val="multilevel"/>
    <w:tmpl w:val="8A1E41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326554"/>
    <w:multiLevelType w:val="multilevel"/>
    <w:tmpl w:val="38AC8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A06849"/>
    <w:multiLevelType w:val="multilevel"/>
    <w:tmpl w:val="0DB2C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FC008B"/>
    <w:multiLevelType w:val="multilevel"/>
    <w:tmpl w:val="1A92C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355F73"/>
    <w:multiLevelType w:val="multilevel"/>
    <w:tmpl w:val="FB941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D6672C"/>
    <w:multiLevelType w:val="multilevel"/>
    <w:tmpl w:val="8FAC5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2920EA"/>
    <w:multiLevelType w:val="multilevel"/>
    <w:tmpl w:val="F0D0F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8B67756"/>
    <w:multiLevelType w:val="multilevel"/>
    <w:tmpl w:val="FC6C4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4D57F3"/>
    <w:multiLevelType w:val="multilevel"/>
    <w:tmpl w:val="98301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834723"/>
    <w:multiLevelType w:val="multilevel"/>
    <w:tmpl w:val="8A8CC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0E460C"/>
    <w:multiLevelType w:val="multilevel"/>
    <w:tmpl w:val="D9E85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46467DE"/>
    <w:multiLevelType w:val="multilevel"/>
    <w:tmpl w:val="E03E5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DBD0176"/>
    <w:multiLevelType w:val="multilevel"/>
    <w:tmpl w:val="9746D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2011116">
    <w:abstractNumId w:val="17"/>
  </w:num>
  <w:num w:numId="2" w16cid:durableId="978846206">
    <w:abstractNumId w:val="1"/>
  </w:num>
  <w:num w:numId="3" w16cid:durableId="2103255391">
    <w:abstractNumId w:val="5"/>
  </w:num>
  <w:num w:numId="4" w16cid:durableId="563684540">
    <w:abstractNumId w:val="0"/>
  </w:num>
  <w:num w:numId="5" w16cid:durableId="2133788152">
    <w:abstractNumId w:val="2"/>
  </w:num>
  <w:num w:numId="6" w16cid:durableId="660816333">
    <w:abstractNumId w:val="16"/>
  </w:num>
  <w:num w:numId="7" w16cid:durableId="445125983">
    <w:abstractNumId w:val="6"/>
  </w:num>
  <w:num w:numId="8" w16cid:durableId="145753672">
    <w:abstractNumId w:val="3"/>
  </w:num>
  <w:num w:numId="9" w16cid:durableId="538470823">
    <w:abstractNumId w:val="13"/>
  </w:num>
  <w:num w:numId="10" w16cid:durableId="784035893">
    <w:abstractNumId w:val="26"/>
  </w:num>
  <w:num w:numId="11" w16cid:durableId="1780374303">
    <w:abstractNumId w:val="15"/>
  </w:num>
  <w:num w:numId="12" w16cid:durableId="2146853441">
    <w:abstractNumId w:val="10"/>
  </w:num>
  <w:num w:numId="13" w16cid:durableId="994408782">
    <w:abstractNumId w:val="14"/>
  </w:num>
  <w:num w:numId="14" w16cid:durableId="251857875">
    <w:abstractNumId w:val="28"/>
  </w:num>
  <w:num w:numId="15" w16cid:durableId="823158419">
    <w:abstractNumId w:val="8"/>
  </w:num>
  <w:num w:numId="16" w16cid:durableId="1621762200">
    <w:abstractNumId w:val="27"/>
  </w:num>
  <w:num w:numId="17" w16cid:durableId="680011518">
    <w:abstractNumId w:val="9"/>
  </w:num>
  <w:num w:numId="18" w16cid:durableId="499931894">
    <w:abstractNumId w:val="7"/>
  </w:num>
  <w:num w:numId="19" w16cid:durableId="1260092919">
    <w:abstractNumId w:val="24"/>
  </w:num>
  <w:num w:numId="20" w16cid:durableId="17778869">
    <w:abstractNumId w:val="21"/>
  </w:num>
  <w:num w:numId="21" w16cid:durableId="1629237545">
    <w:abstractNumId w:val="4"/>
  </w:num>
  <w:num w:numId="22" w16cid:durableId="313144612">
    <w:abstractNumId w:val="11"/>
  </w:num>
  <w:num w:numId="23" w16cid:durableId="461075734">
    <w:abstractNumId w:val="23"/>
  </w:num>
  <w:num w:numId="24" w16cid:durableId="421803770">
    <w:abstractNumId w:val="12"/>
  </w:num>
  <w:num w:numId="25" w16cid:durableId="1768890120">
    <w:abstractNumId w:val="22"/>
  </w:num>
  <w:num w:numId="26" w16cid:durableId="320157594">
    <w:abstractNumId w:val="18"/>
  </w:num>
  <w:num w:numId="27" w16cid:durableId="1959871461">
    <w:abstractNumId w:val="20"/>
  </w:num>
  <w:num w:numId="28" w16cid:durableId="564074855">
    <w:abstractNumId w:val="25"/>
  </w:num>
  <w:num w:numId="29" w16cid:durableId="123758939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FCF"/>
    <w:rsid w:val="00083E76"/>
    <w:rsid w:val="001562EB"/>
    <w:rsid w:val="00191987"/>
    <w:rsid w:val="00234045"/>
    <w:rsid w:val="00234327"/>
    <w:rsid w:val="002F08C7"/>
    <w:rsid w:val="003074CD"/>
    <w:rsid w:val="00361669"/>
    <w:rsid w:val="004506FD"/>
    <w:rsid w:val="005B1D34"/>
    <w:rsid w:val="006A37E9"/>
    <w:rsid w:val="006F05DA"/>
    <w:rsid w:val="00717323"/>
    <w:rsid w:val="007E5496"/>
    <w:rsid w:val="00893A12"/>
    <w:rsid w:val="00B464D1"/>
    <w:rsid w:val="00C10070"/>
    <w:rsid w:val="00C27FCF"/>
    <w:rsid w:val="00DB41E6"/>
    <w:rsid w:val="00FE16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BD085"/>
  <w15:chartTrackingRefBased/>
  <w15:docId w15:val="{F811B2A0-FD2C-4D0B-9744-EEEEBEC5C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0" w:line="250" w:lineRule="auto"/>
    </w:pPr>
    <w:rPr>
      <w:rFonts w:ascii="Aptos" w:eastAsia="Aptos" w:hAnsi="Aptos"/>
      <w:color w:val="333333"/>
      <w:sz w:val="20"/>
    </w:rPr>
  </w:style>
  <w:style w:type="paragraph" w:styleId="Heading1">
    <w:name w:val="heading 1"/>
    <w:basedOn w:val="Normal"/>
    <w:next w:val="Normal"/>
    <w:link w:val="Heading1Char"/>
    <w:uiPriority w:val="9"/>
    <w:qFormat/>
    <w:rsid w:val="00C27FCF"/>
    <w:pPr>
      <w:keepNext/>
      <w:keepLines/>
      <w:spacing w:before="360"/>
      <w:outlineLvl w:val="0"/>
    </w:pPr>
    <w:rPr>
      <w:rFonts w:asciiTheme="majorHAnsi" w:eastAsiaTheme="majorEastAsia" w:hAnsiTheme="majorHAnsi" w:cstheme="majorBidi"/>
      <w:b/>
      <w:color w:val="000000"/>
      <w:sz w:val="22"/>
      <w:szCs w:val="40"/>
    </w:rPr>
  </w:style>
  <w:style w:type="paragraph" w:styleId="Heading2">
    <w:name w:val="heading 2"/>
    <w:basedOn w:val="Normal"/>
    <w:next w:val="Normal"/>
    <w:link w:val="Heading2Char"/>
    <w:uiPriority w:val="9"/>
    <w:semiHidden/>
    <w:unhideWhenUsed/>
    <w:qFormat/>
    <w:rsid w:val="00C27FCF"/>
    <w:pPr>
      <w:keepNext/>
      <w:keepLines/>
      <w:spacing w:before="160"/>
      <w:outlineLvl w:val="1"/>
    </w:pPr>
    <w:rPr>
      <w:rFonts w:asciiTheme="majorHAnsi" w:eastAsiaTheme="majorEastAsia" w:hAnsiTheme="majorHAnsi" w:cstheme="majorBidi"/>
      <w:b/>
      <w:color w:val="000000"/>
      <w:sz w:val="22"/>
      <w:szCs w:val="32"/>
    </w:rPr>
  </w:style>
  <w:style w:type="paragraph" w:styleId="Heading3">
    <w:name w:val="heading 3"/>
    <w:basedOn w:val="Normal"/>
    <w:next w:val="Normal"/>
    <w:link w:val="Heading3Char"/>
    <w:uiPriority w:val="9"/>
    <w:semiHidden/>
    <w:unhideWhenUsed/>
    <w:qFormat/>
    <w:rsid w:val="00C27FCF"/>
    <w:pPr>
      <w:keepNext/>
      <w:keepLines/>
      <w:spacing w:before="160"/>
      <w:outlineLvl w:val="2"/>
    </w:pPr>
    <w:rPr>
      <w:rFonts w:ascii="Arial" w:eastAsiaTheme="majorEastAsia" w:hAnsi="Arial" w:cstheme="majorBidi"/>
      <w:b/>
      <w:color w:val="000000"/>
      <w:sz w:val="22"/>
      <w:szCs w:val="28"/>
    </w:rPr>
  </w:style>
  <w:style w:type="paragraph" w:styleId="Heading4">
    <w:name w:val="heading 4"/>
    <w:basedOn w:val="Normal"/>
    <w:next w:val="Normal"/>
    <w:link w:val="Heading4Char"/>
    <w:uiPriority w:val="9"/>
    <w:semiHidden/>
    <w:unhideWhenUsed/>
    <w:qFormat/>
    <w:rsid w:val="00C27FCF"/>
    <w:pPr>
      <w:keepNext/>
      <w:keepLines/>
      <w:spacing w:before="80" w:after="40"/>
      <w:outlineLvl w:val="3"/>
    </w:pPr>
    <w:rPr>
      <w:rFonts w:ascii="Arial" w:eastAsiaTheme="majorEastAsia" w:hAnsi="Arial" w:cstheme="majorBidi"/>
      <w:b/>
      <w:i/>
      <w:iCs/>
      <w:color w:val="000000"/>
      <w:sz w:val="22"/>
    </w:rPr>
  </w:style>
  <w:style w:type="paragraph" w:styleId="Heading5">
    <w:name w:val="heading 5"/>
    <w:basedOn w:val="Normal"/>
    <w:next w:val="Normal"/>
    <w:link w:val="Heading5Char"/>
    <w:uiPriority w:val="9"/>
    <w:semiHidden/>
    <w:unhideWhenUsed/>
    <w:qFormat/>
    <w:rsid w:val="00C27F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7F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7F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7F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7F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7F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7F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7F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7F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7F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7F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7F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7F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7FCF"/>
    <w:rPr>
      <w:rFonts w:eastAsiaTheme="majorEastAsia" w:cstheme="majorBidi"/>
      <w:color w:val="272727" w:themeColor="text1" w:themeTint="D8"/>
    </w:rPr>
  </w:style>
  <w:style w:type="paragraph" w:styleId="Title">
    <w:name w:val="Title"/>
    <w:basedOn w:val="Normal"/>
    <w:next w:val="Normal"/>
    <w:link w:val="TitleChar"/>
    <w:uiPriority w:val="10"/>
    <w:qFormat/>
    <w:rsid w:val="00C27FCF"/>
    <w:pPr>
      <w:spacing w:line="240" w:lineRule="auto"/>
      <w:contextualSpacing/>
    </w:pPr>
    <w:rPr>
      <w:rFonts w:asciiTheme="majorHAnsi" w:eastAsiaTheme="majorEastAsia" w:hAnsiTheme="majorHAnsi" w:cstheme="majorBidi"/>
      <w:b/>
      <w:color w:val="000000"/>
      <w:spacing w:val="-10"/>
      <w:kern w:val="28"/>
      <w:sz w:val="28"/>
      <w:szCs w:val="56"/>
    </w:rPr>
  </w:style>
  <w:style w:type="character" w:customStyle="1" w:styleId="TitleChar">
    <w:name w:val="Title Char"/>
    <w:basedOn w:val="DefaultParagraphFont"/>
    <w:link w:val="Title"/>
    <w:uiPriority w:val="10"/>
    <w:rsid w:val="00C27F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7F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7F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7FCF"/>
    <w:pPr>
      <w:spacing w:before="160"/>
      <w:jc w:val="center"/>
    </w:pPr>
    <w:rPr>
      <w:i/>
      <w:iCs/>
      <w:color w:val="404040" w:themeColor="text1" w:themeTint="BF"/>
    </w:rPr>
  </w:style>
  <w:style w:type="character" w:customStyle="1" w:styleId="QuoteChar">
    <w:name w:val="Quote Char"/>
    <w:basedOn w:val="DefaultParagraphFont"/>
    <w:link w:val="Quote"/>
    <w:uiPriority w:val="29"/>
    <w:rsid w:val="00C27FCF"/>
    <w:rPr>
      <w:i/>
      <w:iCs/>
      <w:color w:val="404040" w:themeColor="text1" w:themeTint="BF"/>
    </w:rPr>
  </w:style>
  <w:style w:type="paragraph" w:styleId="ListParagraph">
    <w:name w:val="List Paragraph"/>
    <w:basedOn w:val="Normal"/>
    <w:uiPriority w:val="34"/>
    <w:qFormat/>
    <w:rsid w:val="00C27FCF"/>
    <w:pPr>
      <w:ind w:left="720"/>
      <w:contextualSpacing/>
    </w:pPr>
  </w:style>
  <w:style w:type="character" w:styleId="IntenseEmphasis">
    <w:name w:val="Intense Emphasis"/>
    <w:basedOn w:val="DefaultParagraphFont"/>
    <w:uiPriority w:val="21"/>
    <w:qFormat/>
    <w:rsid w:val="00C27FCF"/>
    <w:rPr>
      <w:i/>
      <w:iCs/>
      <w:color w:val="0F4761" w:themeColor="accent1" w:themeShade="BF"/>
    </w:rPr>
  </w:style>
  <w:style w:type="paragraph" w:styleId="IntenseQuote">
    <w:name w:val="Intense Quote"/>
    <w:basedOn w:val="Normal"/>
    <w:next w:val="Normal"/>
    <w:link w:val="IntenseQuoteChar"/>
    <w:uiPriority w:val="30"/>
    <w:qFormat/>
    <w:rsid w:val="00C27F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7FCF"/>
    <w:rPr>
      <w:i/>
      <w:iCs/>
      <w:color w:val="0F4761" w:themeColor="accent1" w:themeShade="BF"/>
    </w:rPr>
  </w:style>
  <w:style w:type="character" w:styleId="IntenseReference">
    <w:name w:val="Intense Reference"/>
    <w:basedOn w:val="DefaultParagraphFont"/>
    <w:uiPriority w:val="32"/>
    <w:qFormat/>
    <w:rsid w:val="00C27FCF"/>
    <w:rPr>
      <w:b/>
      <w:bCs/>
      <w:smallCaps/>
      <w:color w:val="0F4761" w:themeColor="accent1" w:themeShade="BF"/>
      <w:spacing w:val="5"/>
    </w:rPr>
  </w:style>
  <w:style w:type="paragraph" w:styleId="Header">
    <w:name w:val="header"/>
    <w:basedOn w:val="Normal"/>
    <w:link w:val="HeaderChar"/>
    <w:uiPriority w:val="99"/>
    <w:unhideWhenUsed/>
    <w:rsid w:val="00C27F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7FCF"/>
  </w:style>
  <w:style w:type="paragraph" w:styleId="Footer">
    <w:name w:val="footer"/>
    <w:basedOn w:val="Normal"/>
    <w:link w:val="FooterChar"/>
    <w:uiPriority w:val="99"/>
    <w:unhideWhenUsed/>
    <w:rsid w:val="00C27F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7FCF"/>
  </w:style>
  <w:style w:type="table" w:styleId="TableGrid">
    <w:name w:val="Table Grid"/>
    <w:basedOn w:val="TableNormal"/>
    <w:uiPriority w:val="39"/>
    <w:rsid w:val="00C27F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9B6CEE4254034E8DD9D5E94621F18A" ma:contentTypeVersion="12" ma:contentTypeDescription="Create a new document." ma:contentTypeScope="" ma:versionID="c2e65323f512c6a515c18d2b8b1fb794">
  <xsd:schema xmlns:xsd="http://www.w3.org/2001/XMLSchema" xmlns:xs="http://www.w3.org/2001/XMLSchema" xmlns:p="http://schemas.microsoft.com/office/2006/metadata/properties" xmlns:ns2="8438084b-e005-4a8b-ad58-f27396e5ccc5" xmlns:ns3="4450dfb5-0075-48d7-b1c5-f913c101e4f1" targetNamespace="http://schemas.microsoft.com/office/2006/metadata/properties" ma:root="true" ma:fieldsID="283d073cf7a9a7835afaaaaad2618a57" ns2:_="" ns3:_="">
    <xsd:import namespace="8438084b-e005-4a8b-ad58-f27396e5ccc5"/>
    <xsd:import namespace="4450dfb5-0075-48d7-b1c5-f913c101e4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38084b-e005-4a8b-ad58-f27396e5cc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5fa2b7e-921a-4024-8077-4c46288a4eb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50dfb5-0075-48d7-b1c5-f913c101e4f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f9f081-b9e5-4a23-8f8b-aee9ab090940}" ma:internalName="TaxCatchAll" ma:showField="CatchAllData" ma:web="4450dfb5-0075-48d7-b1c5-f913c101e4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450dfb5-0075-48d7-b1c5-f913c101e4f1" xsi:nil="true"/>
    <lcf76f155ced4ddcb4097134ff3c332f xmlns="8438084b-e005-4a8b-ad58-f27396e5ccc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DABE319-3E44-4B66-9FC5-C125724CBE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38084b-e005-4a8b-ad58-f27396e5ccc5"/>
    <ds:schemaRef ds:uri="4450dfb5-0075-48d7-b1c5-f913c101e4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6803F8-FFC7-42AB-8E44-A353286A242B}">
  <ds:schemaRefs>
    <ds:schemaRef ds:uri="http://schemas.microsoft.com/sharepoint/v3/contenttype/forms"/>
  </ds:schemaRefs>
</ds:datastoreItem>
</file>

<file path=customXml/itemProps3.xml><?xml version="1.0" encoding="utf-8"?>
<ds:datastoreItem xmlns:ds="http://schemas.openxmlformats.org/officeDocument/2006/customXml" ds:itemID="{9CFA4A39-76F1-4B88-9700-1938280D59A9}">
  <ds:schemaRefs>
    <ds:schemaRef ds:uri="http://schemas.microsoft.com/office/2006/metadata/properties"/>
    <ds:schemaRef ds:uri="http://schemas.microsoft.com/office/infopath/2007/PartnerControls"/>
    <ds:schemaRef ds:uri="4450dfb5-0075-48d7-b1c5-f913c101e4f1"/>
    <ds:schemaRef ds:uri="8438084b-e005-4a8b-ad58-f27396e5ccc5"/>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645</Words>
  <Characters>3682</Characters>
  <Application>Microsoft Office Word</Application>
  <DocSecurity>0</DocSecurity>
  <Lines>30</Lines>
  <Paragraphs>8</Paragraphs>
  <ScaleCrop>false</ScaleCrop>
  <Company/>
  <LinksUpToDate>false</LinksUpToDate>
  <CharactersWithSpaces>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Tertia Turner</dc:creator>
  <cp:keywords/>
  <dc:description/>
  <cp:lastModifiedBy>Mario Di Clemente</cp:lastModifiedBy>
  <cp:revision>6</cp:revision>
  <dcterms:created xsi:type="dcterms:W3CDTF">2025-08-08T10:44:00Z</dcterms:created>
  <dcterms:modified xsi:type="dcterms:W3CDTF">2026-09-09T10:48:00Z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0x0101001C9B6CEE4254034E8DD9D5E94621F18A</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