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C9462" w14:textId="77777777" w:rsidR="005329E4" w:rsidRDefault="00B5106B">
      <w:pPr>
        <w:pStyle w:val="Heading1"/>
        <w:spacing w:before="100" w:after="200"/>
        <w:jc w:val="center"/>
      </w:pPr>
      <w:r>
        <w:rPr>
          <w:rFonts w:ascii="Aptos" w:eastAsia="Aptos" w:hAnsi="Aptos"/>
          <w:color w:val="6F1E6C"/>
          <w:sz w:val="34"/>
        </w:rPr>
        <w:t>Pupil Attendance Policy</w:t>
      </w:r>
    </w:p>
    <w:p w14:paraId="24A553E3" w14:textId="77777777" w:rsidR="005329E4" w:rsidRDefault="005329E4">
      <w:pPr>
        <w:spacing w:after="40"/>
      </w:pPr>
    </w:p>
    <w:p w14:paraId="758FEE99" w14:textId="77777777" w:rsidR="005329E4" w:rsidRDefault="00B5106B">
      <w:pPr>
        <w:pStyle w:val="Heading2"/>
        <w:spacing w:before="140" w:after="60"/>
      </w:pPr>
      <w:r>
        <w:rPr>
          <w:rFonts w:ascii="Aptos" w:eastAsia="Aptos" w:hAnsi="Aptos"/>
          <w:color w:val="92278F"/>
          <w:sz w:val="23"/>
        </w:rPr>
        <w:t>1. Aim</w:t>
      </w:r>
    </w:p>
    <w:p w14:paraId="2DC15A32" w14:textId="77777777" w:rsidR="005329E4" w:rsidRDefault="00B5106B">
      <w:pPr>
        <w:keepLines/>
        <w:spacing w:after="70"/>
      </w:pPr>
      <w:r>
        <w:t>The school promotes regular attendance through a supportive, safeguarding-led approach that identifies barriers early, works with families and sets clear expectations.</w:t>
      </w:r>
    </w:p>
    <w:p w14:paraId="6DADF851" w14:textId="77777777" w:rsidR="005329E4" w:rsidRDefault="00B5106B">
      <w:pPr>
        <w:pStyle w:val="Heading2"/>
        <w:spacing w:before="140" w:after="60"/>
      </w:pPr>
      <w:r>
        <w:rPr>
          <w:rFonts w:ascii="Aptos" w:eastAsia="Aptos" w:hAnsi="Aptos"/>
          <w:color w:val="92278F"/>
          <w:sz w:val="23"/>
        </w:rPr>
        <w:t>2. Statutory Framework</w:t>
      </w:r>
    </w:p>
    <w:p w14:paraId="461C388E" w14:textId="77777777" w:rsidR="005329E4" w:rsidRDefault="00B5106B">
      <w:pPr>
        <w:keepLines/>
        <w:spacing w:after="70"/>
        <w:ind w:left="259" w:hanging="173"/>
      </w:pPr>
      <w:r>
        <w:t>• Working Together to Improve School Attendance, updated July 2026</w:t>
      </w:r>
    </w:p>
    <w:p w14:paraId="43B2869D" w14:textId="77777777" w:rsidR="005329E4" w:rsidRDefault="00B5106B">
      <w:pPr>
        <w:keepLines/>
        <w:spacing w:after="70"/>
        <w:ind w:left="259" w:hanging="173"/>
      </w:pPr>
      <w:r>
        <w:t>• Education (Pupil Registration) (England) Regulations 2024, as amended</w:t>
      </w:r>
    </w:p>
    <w:p w14:paraId="32E30582" w14:textId="77777777" w:rsidR="005329E4" w:rsidRDefault="00B5106B">
      <w:pPr>
        <w:keepLines/>
        <w:spacing w:after="70"/>
        <w:ind w:left="259" w:hanging="173"/>
      </w:pPr>
      <w:r>
        <w:t>• Keeping Children Safe in Education 2026</w:t>
      </w:r>
    </w:p>
    <w:p w14:paraId="4A572936" w14:textId="77777777" w:rsidR="005329E4" w:rsidRDefault="00B5106B">
      <w:pPr>
        <w:keepLines/>
        <w:spacing w:after="70"/>
        <w:ind w:left="259" w:hanging="173"/>
      </w:pPr>
      <w:r>
        <w:t>• Education (Independent School Standards) Regulations 2014</w:t>
      </w:r>
    </w:p>
    <w:p w14:paraId="0CD4E66B" w14:textId="77777777" w:rsidR="005329E4" w:rsidRDefault="00B5106B">
      <w:pPr>
        <w:pStyle w:val="Heading2"/>
        <w:spacing w:before="140" w:after="60"/>
      </w:pPr>
      <w:r>
        <w:rPr>
          <w:rFonts w:ascii="Aptos" w:eastAsia="Aptos" w:hAnsi="Aptos"/>
          <w:color w:val="92278F"/>
          <w:sz w:val="23"/>
        </w:rPr>
        <w:t>3. Leadership</w:t>
      </w:r>
    </w:p>
    <w:p w14:paraId="5E985CA1" w14:textId="77777777" w:rsidR="005329E4" w:rsidRDefault="00B5106B">
      <w:pPr>
        <w:keepLines/>
        <w:spacing w:after="70"/>
      </w:pPr>
      <w:r>
        <w:t>Mario Di Clemente and Tertia Turner are the school’s Attendance Leads and have strategic responsibility for attendance. Tertia Turner coordinates first-day follow-up and day-to-day attendance work.</w:t>
      </w:r>
    </w:p>
    <w:p w14:paraId="16266A74" w14:textId="77777777" w:rsidR="005329E4" w:rsidRDefault="00B5106B">
      <w:pPr>
        <w:pStyle w:val="Heading2"/>
        <w:spacing w:before="140" w:after="60"/>
      </w:pPr>
      <w:r>
        <w:rPr>
          <w:rFonts w:ascii="Aptos" w:eastAsia="Aptos" w:hAnsi="Aptos"/>
          <w:color w:val="92278F"/>
          <w:sz w:val="23"/>
        </w:rPr>
        <w:t>4. Registers</w:t>
      </w:r>
    </w:p>
    <w:p w14:paraId="5ACE8F13" w14:textId="77777777" w:rsidR="005329E4" w:rsidRDefault="00B5106B">
      <w:pPr>
        <w:keepLines/>
        <w:spacing w:after="70"/>
      </w:pPr>
      <w:r>
        <w:t>Attendance and admission registers are maintained electronically using the school’s current MIS. Registers are taken at the required points in the school day and are not kept open for longer than permitted by statutory guidance. Entries, amendments and audit information are retained for the required period. The policy deliberately does not name a specific MIS while the school’s 2026/27 system is being finalised.</w:t>
      </w:r>
    </w:p>
    <w:p w14:paraId="4153A8D0" w14:textId="77777777" w:rsidR="005329E4" w:rsidRPr="00365767" w:rsidRDefault="00B5106B">
      <w:pPr>
        <w:pStyle w:val="Heading2"/>
        <w:keepNext w:val="0"/>
        <w:spacing w:before="20" w:after="40"/>
        <w:rPr>
          <w:bCs/>
          <w:color w:val="77206D" w:themeColor="accent5" w:themeShade="BF"/>
          <w:sz w:val="24"/>
          <w:szCs w:val="36"/>
        </w:rPr>
      </w:pPr>
      <w:r w:rsidRPr="00365767">
        <w:rPr>
          <w:rFonts w:ascii="Aptos" w:eastAsia="Aptos" w:hAnsi="Aptos"/>
          <w:bCs/>
          <w:color w:val="77206D" w:themeColor="accent5" w:themeShade="BF"/>
          <w:szCs w:val="36"/>
        </w:rPr>
        <w:t>5. Reporting Absence</w:t>
      </w:r>
    </w:p>
    <w:p w14:paraId="41801665" w14:textId="77777777" w:rsidR="005329E4" w:rsidRDefault="00B5106B">
      <w:pPr>
        <w:keepLines/>
        <w:spacing w:after="70"/>
      </w:pPr>
      <w:r>
        <w:t>Parents/carers may report absence by telephone, email or the school’s approved WhatsApp route. The school may ask for medical or other evidence where this is reasonable and necessary; evidence is not required automatically after a fixed number of days.</w:t>
      </w:r>
    </w:p>
    <w:p w14:paraId="69E7EA92" w14:textId="77777777" w:rsidR="005329E4" w:rsidRDefault="00B5106B">
      <w:pPr>
        <w:pStyle w:val="Heading2"/>
        <w:spacing w:before="140" w:after="60"/>
      </w:pPr>
      <w:r>
        <w:rPr>
          <w:rFonts w:ascii="Aptos" w:eastAsia="Aptos" w:hAnsi="Aptos"/>
          <w:color w:val="92278F"/>
          <w:sz w:val="23"/>
        </w:rPr>
        <w:t>6. First-Day Response</w:t>
      </w:r>
    </w:p>
    <w:p w14:paraId="011EC0A1" w14:textId="77777777" w:rsidR="005329E4" w:rsidRDefault="00B5106B">
      <w:pPr>
        <w:keepLines/>
        <w:spacing w:after="70"/>
      </w:pPr>
      <w:r>
        <w:t>Unexplained absence is followed up on the same day. The school considers safeguarding, known medical/SEND issues, transport and family circumstances. If contact cannot be established or risk is elevated, SLT may undertake a safe home visit or contact relevant agencies.</w:t>
      </w:r>
    </w:p>
    <w:p w14:paraId="13D08EF2" w14:textId="77777777" w:rsidR="005329E4" w:rsidRDefault="00B5106B">
      <w:pPr>
        <w:pStyle w:val="Heading2"/>
        <w:spacing w:before="140" w:after="60"/>
      </w:pPr>
      <w:r>
        <w:rPr>
          <w:rFonts w:ascii="Aptos" w:eastAsia="Aptos" w:hAnsi="Aptos"/>
          <w:color w:val="92278F"/>
          <w:sz w:val="23"/>
        </w:rPr>
        <w:t>7. Supporting Attendance</w:t>
      </w:r>
    </w:p>
    <w:p w14:paraId="4308A512" w14:textId="77777777" w:rsidR="005329E4" w:rsidRDefault="00B5106B">
      <w:pPr>
        <w:keepLines/>
        <w:spacing w:after="70"/>
        <w:ind w:left="259" w:hanging="173"/>
      </w:pPr>
      <w:r>
        <w:t>• Meet with pupils and families to understand barriers.</w:t>
      </w:r>
    </w:p>
    <w:p w14:paraId="3DB169A3" w14:textId="77777777" w:rsidR="005329E4" w:rsidRDefault="00B5106B">
      <w:pPr>
        <w:keepLines/>
        <w:spacing w:after="70"/>
        <w:ind w:left="259" w:hanging="173"/>
      </w:pPr>
      <w:r>
        <w:t>• Use reasonable adjustments, pastoral support and agency involvement where appropriate.</w:t>
      </w:r>
    </w:p>
    <w:p w14:paraId="5A2E55F3" w14:textId="77777777" w:rsidR="005329E4" w:rsidRDefault="00B5106B">
      <w:pPr>
        <w:keepLines/>
        <w:spacing w:after="70"/>
        <w:ind w:left="259" w:hanging="173"/>
      </w:pPr>
      <w:r>
        <w:t>• Review patterns of persistent or severe absence and link attendance with safeguarding.</w:t>
      </w:r>
    </w:p>
    <w:p w14:paraId="3EA42CE9" w14:textId="77777777" w:rsidR="005329E4" w:rsidRDefault="00B5106B">
      <w:pPr>
        <w:keepLines/>
        <w:spacing w:after="70"/>
        <w:ind w:left="259" w:hanging="173"/>
      </w:pPr>
      <w:r>
        <w:t>• Work with local authorities and EHCP professionals where attendance remains a concern.</w:t>
      </w:r>
    </w:p>
    <w:p w14:paraId="3B5BB41F" w14:textId="77777777" w:rsidR="005329E4" w:rsidRDefault="00B5106B">
      <w:pPr>
        <w:pStyle w:val="Heading2"/>
        <w:spacing w:before="140" w:after="60"/>
      </w:pPr>
      <w:r>
        <w:rPr>
          <w:rFonts w:ascii="Aptos" w:eastAsia="Aptos" w:hAnsi="Aptos"/>
          <w:color w:val="92278F"/>
          <w:sz w:val="23"/>
        </w:rPr>
        <w:t>8. Reduced or Part-Time Timetables</w:t>
      </w:r>
    </w:p>
    <w:p w14:paraId="4819DC0F" w14:textId="77777777" w:rsidR="005329E4" w:rsidRDefault="00B5106B">
      <w:pPr>
        <w:keepLines/>
        <w:spacing w:after="70"/>
      </w:pPr>
      <w:r>
        <w:t>A reduced timetable is exceptional and must be agreed by the Headteacher following a meeting and assessment of need. It must have a clear purpose, written plan, reintegration/end date and safeguarding arrangements. It is reviewed at least weekly. The relevant local authority and EHCP professionals are informed where appropriate. A reduced timetable must not become an open-ended arrangement.</w:t>
      </w:r>
    </w:p>
    <w:p w14:paraId="231BFA47" w14:textId="77777777" w:rsidR="005329E4" w:rsidRDefault="00B5106B">
      <w:pPr>
        <w:pStyle w:val="Heading2"/>
        <w:spacing w:before="140" w:after="60"/>
      </w:pPr>
      <w:r>
        <w:rPr>
          <w:rFonts w:ascii="Aptos" w:eastAsia="Aptos" w:hAnsi="Aptos"/>
          <w:color w:val="92278F"/>
          <w:sz w:val="23"/>
        </w:rPr>
        <w:t>9. Off-Site / EOTAS Attendance</w:t>
      </w:r>
    </w:p>
    <w:p w14:paraId="035D2C92" w14:textId="77777777" w:rsidR="005329E4" w:rsidRDefault="00B5106B">
      <w:pPr>
        <w:keepLines/>
        <w:spacing w:after="70"/>
      </w:pPr>
      <w:r>
        <w:t>Where the school is responsible for education delivered off site, it must have a reliable method of confirming attendance and escalating non-attendance. The precise operational system may differ from the on-site MIS and will be documented in the pupil’s individual arrangement. Safeguarding concerns are escalated without delay.</w:t>
      </w:r>
    </w:p>
    <w:p w14:paraId="2883880D" w14:textId="77777777" w:rsidR="005329E4" w:rsidRDefault="00B5106B">
      <w:pPr>
        <w:pStyle w:val="Heading2"/>
        <w:spacing w:before="140" w:after="60"/>
      </w:pPr>
      <w:r>
        <w:rPr>
          <w:rFonts w:ascii="Aptos" w:eastAsia="Aptos" w:hAnsi="Aptos"/>
          <w:color w:val="92278F"/>
          <w:sz w:val="23"/>
        </w:rPr>
        <w:t>10. Authorisation and Legal Intervention</w:t>
      </w:r>
    </w:p>
    <w:p w14:paraId="5907183D" w14:textId="77777777" w:rsidR="005329E4" w:rsidRDefault="00B5106B">
      <w:pPr>
        <w:keepLines/>
        <w:spacing w:after="70"/>
      </w:pPr>
      <w:r>
        <w:t>Tertia Turner and Mario Di Clemente determine whether absences are authorised in accordance with statutory guidance. Independent schools do not issue school attendance penalty notices. Where legal intervention may be appropriate, the school works with the relevant local authority.</w:t>
      </w:r>
    </w:p>
    <w:p w14:paraId="0039BAE0" w14:textId="77777777" w:rsidR="005329E4" w:rsidRDefault="00B5106B">
      <w:pPr>
        <w:pStyle w:val="Heading2"/>
        <w:spacing w:before="140" w:after="60"/>
      </w:pPr>
      <w:r>
        <w:rPr>
          <w:rFonts w:ascii="Aptos" w:eastAsia="Aptos" w:hAnsi="Aptos"/>
          <w:color w:val="92278F"/>
          <w:sz w:val="23"/>
        </w:rPr>
        <w:lastRenderedPageBreak/>
        <w:t>11. Monitoring</w:t>
      </w:r>
    </w:p>
    <w:p w14:paraId="41C2C744" w14:textId="77777777" w:rsidR="005329E4" w:rsidRDefault="00B5106B">
      <w:pPr>
        <w:keepLines/>
        <w:spacing w:after="70"/>
      </w:pPr>
      <w:r>
        <w:t>Attendance is reviewed regularly by SLT, with individual action where patterns emerge. No single whole-school attendance target is written into this policy so that support remains responsive to the school’s complex SEND cohort.</w:t>
      </w:r>
    </w:p>
    <w:p w14:paraId="686355C4" w14:textId="77777777" w:rsidR="005329E4" w:rsidRDefault="005329E4">
      <w:pPr>
        <w:spacing w:before="120"/>
      </w:pPr>
    </w:p>
    <w:tbl>
      <w:tblPr>
        <w:tblStyle w:val="TableGrid"/>
        <w:tblW w:w="0" w:type="auto"/>
        <w:jc w:val="center"/>
        <w:tblLook w:val="04A0" w:firstRow="1" w:lastRow="0" w:firstColumn="1" w:lastColumn="0" w:noHBand="0" w:noVBand="1"/>
      </w:tblPr>
      <w:tblGrid>
        <w:gridCol w:w="2689"/>
        <w:gridCol w:w="4961"/>
        <w:gridCol w:w="1366"/>
      </w:tblGrid>
      <w:tr w:rsidR="00283B27" w:rsidRPr="00283B27" w14:paraId="1D33548F" w14:textId="77777777" w:rsidTr="00EE2FEB">
        <w:trPr>
          <w:cantSplit/>
          <w:tblHeader/>
          <w:jc w:val="center"/>
        </w:trPr>
        <w:tc>
          <w:tcPr>
            <w:tcW w:w="2689"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hideMark/>
          </w:tcPr>
          <w:p w14:paraId="45DE352B" w14:textId="77777777" w:rsidR="005329E4" w:rsidRDefault="005329E4">
            <w:pPr>
              <w:keepNext/>
              <w:keepLines/>
              <w:spacing w:after="0"/>
            </w:pPr>
          </w:p>
        </w:tc>
        <w:tc>
          <w:tcPr>
            <w:tcW w:w="4961"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tcPr>
          <w:p w14:paraId="78AA7AD9" w14:textId="77777777" w:rsidR="005329E4" w:rsidRDefault="00B5106B">
            <w:pPr>
              <w:keepNext/>
              <w:keepLines/>
              <w:spacing w:after="0"/>
            </w:pPr>
            <w:r>
              <w:rPr>
                <w:b/>
                <w:color w:val="FFFFFF"/>
                <w:sz w:val="19"/>
              </w:rPr>
              <w:t>By whom</w:t>
            </w:r>
          </w:p>
        </w:tc>
        <w:tc>
          <w:tcPr>
            <w:tcW w:w="1366"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hideMark/>
          </w:tcPr>
          <w:p w14:paraId="3F37DAEE" w14:textId="77777777" w:rsidR="005329E4" w:rsidRDefault="00B5106B">
            <w:pPr>
              <w:keepNext/>
              <w:keepLines/>
              <w:spacing w:after="0"/>
            </w:pPr>
            <w:r>
              <w:rPr>
                <w:b/>
                <w:color w:val="FFFFFF"/>
                <w:sz w:val="19"/>
              </w:rPr>
              <w:t>Date</w:t>
            </w:r>
          </w:p>
        </w:tc>
      </w:tr>
      <w:tr w:rsidR="00283B27" w:rsidRPr="00283B27" w14:paraId="3F11DF17"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5CD6BF4A" w14:textId="77777777" w:rsidR="005329E4" w:rsidRDefault="00B5106B">
            <w:pPr>
              <w:keepNext/>
              <w:keepLines/>
              <w:spacing w:after="0"/>
            </w:pPr>
            <w:r>
              <w:rPr>
                <w:b/>
                <w:color w:val="6F1E6C"/>
                <w:sz w:val="19"/>
              </w:rPr>
              <w:t>Policy signed off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35756A20" w14:textId="77777777" w:rsidR="005329E4" w:rsidRDefault="00B5106B">
            <w:pPr>
              <w:keepNext/>
              <w:keepLines/>
              <w:spacing w:after="0"/>
            </w:pPr>
            <w:r>
              <w:rPr>
                <w:sz w:val="19"/>
              </w:rPr>
              <w:t>Mario Di Clemente</w:t>
            </w: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74752B35" w14:textId="77777777" w:rsidR="005329E4" w:rsidRDefault="00B5106B">
            <w:pPr>
              <w:keepNext/>
              <w:keepLines/>
              <w:spacing w:after="0"/>
            </w:pPr>
            <w:r>
              <w:rPr>
                <w:sz w:val="19"/>
              </w:rPr>
              <w:t>September 2026</w:t>
            </w:r>
          </w:p>
        </w:tc>
      </w:tr>
      <w:tr w:rsidR="00283B27" w:rsidRPr="00283B27" w14:paraId="4086C936"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4E078B6F" w14:textId="77777777" w:rsidR="005329E4" w:rsidRDefault="00B5106B">
            <w:pPr>
              <w:keepNext/>
              <w:keepLines/>
              <w:spacing w:after="0"/>
            </w:pPr>
            <w:r>
              <w:rPr>
                <w:b/>
                <w:color w:val="6F1E6C"/>
                <w:sz w:val="19"/>
              </w:rPr>
              <w:t>Reviewed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127D12D8" w14:textId="77777777" w:rsidR="005329E4" w:rsidRDefault="005329E4">
            <w:pPr>
              <w:keepNext/>
              <w:keepLines/>
              <w:spacing w:after="0"/>
            </w:pP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6348A310" w14:textId="77777777" w:rsidR="005329E4" w:rsidRDefault="005329E4">
            <w:pPr>
              <w:keepNext/>
              <w:keepLines/>
              <w:spacing w:after="0"/>
            </w:pPr>
          </w:p>
        </w:tc>
      </w:tr>
      <w:tr w:rsidR="00283B27" w:rsidRPr="00283B27" w14:paraId="6547DADA"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74A4784C" w14:textId="77777777" w:rsidR="005329E4" w:rsidRDefault="00B5106B">
            <w:pPr>
              <w:keepLines/>
              <w:spacing w:after="0"/>
            </w:pPr>
            <w:r>
              <w:rPr>
                <w:b/>
                <w:color w:val="6F1E6C"/>
                <w:sz w:val="19"/>
              </w:rPr>
              <w:t>Next Review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64A7F37E" w14:textId="77777777" w:rsidR="005329E4" w:rsidRDefault="005329E4">
            <w:pPr>
              <w:keepLines/>
              <w:spacing w:after="0"/>
            </w:pP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1A351A98" w14:textId="77777777" w:rsidR="005329E4" w:rsidRDefault="00B5106B">
            <w:pPr>
              <w:keepLines/>
              <w:spacing w:after="0"/>
            </w:pPr>
            <w:r>
              <w:rPr>
                <w:sz w:val="19"/>
              </w:rPr>
              <w:t>September 2027</w:t>
            </w:r>
          </w:p>
        </w:tc>
      </w:tr>
    </w:tbl>
    <w:p w14:paraId="75BB2047" w14:textId="77777777" w:rsidR="00B5106B" w:rsidRDefault="00B5106B"/>
    <w:sectPr w:rsidR="00B5106B">
      <w:headerReference w:type="default" r:id="rId10"/>
      <w:footerReference w:type="default" r:id="rId11"/>
      <w:pgSz w:w="11906" w:h="16838"/>
      <w:pgMar w:top="1037" w:right="1037" w:bottom="1037" w:left="1037" w:header="259" w:footer="3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DDE5E" w14:textId="77777777" w:rsidR="00C2177D" w:rsidRDefault="00C2177D" w:rsidP="00051CA6">
      <w:pPr>
        <w:spacing w:after="0" w:line="240" w:lineRule="auto"/>
      </w:pPr>
      <w:r>
        <w:separator/>
      </w:r>
    </w:p>
  </w:endnote>
  <w:endnote w:type="continuationSeparator" w:id="0">
    <w:p w14:paraId="28D916B1" w14:textId="77777777" w:rsidR="00C2177D" w:rsidRDefault="00C2177D" w:rsidP="00051C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B2B04" w14:textId="77777777" w:rsidR="005329E4" w:rsidRDefault="005329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CB387" w14:textId="77777777" w:rsidR="00C2177D" w:rsidRDefault="00C2177D" w:rsidP="00051CA6">
      <w:pPr>
        <w:spacing w:after="0" w:line="240" w:lineRule="auto"/>
      </w:pPr>
      <w:r>
        <w:separator/>
      </w:r>
    </w:p>
  </w:footnote>
  <w:footnote w:type="continuationSeparator" w:id="0">
    <w:p w14:paraId="5A8B3B77" w14:textId="77777777" w:rsidR="00C2177D" w:rsidRDefault="00C2177D" w:rsidP="00051C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7A2D3" w14:textId="7A2B5656" w:rsidR="00051CA6" w:rsidRDefault="00051CA6">
    <w:pPr>
      <w:pStyle w:val="Header"/>
      <w:pBdr>
        <w:bottom w:val="single" w:sz="10" w:space="3" w:color="92278F"/>
      </w:pBdr>
      <w:spacing w:after="40"/>
    </w:pPr>
    <w:r>
      <w:rPr>
        <w:noProof/>
      </w:rPr>
      <w:drawing>
        <wp:inline distT="0" distB="0" distL="0" distR="0" wp14:anchorId="6C882A91" wp14:editId="3ED5EF64">
          <wp:extent cx="2148840" cy="6485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2148840" cy="6485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95033"/>
    <w:multiLevelType w:val="multilevel"/>
    <w:tmpl w:val="03C2A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541ABE"/>
    <w:multiLevelType w:val="multilevel"/>
    <w:tmpl w:val="55BC8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1E6B6C"/>
    <w:multiLevelType w:val="multilevel"/>
    <w:tmpl w:val="C03C6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8B4985"/>
    <w:multiLevelType w:val="multilevel"/>
    <w:tmpl w:val="7332B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676E5B"/>
    <w:multiLevelType w:val="multilevel"/>
    <w:tmpl w:val="ACB4F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C11C7F"/>
    <w:multiLevelType w:val="multilevel"/>
    <w:tmpl w:val="BB7AB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DB3DC6"/>
    <w:multiLevelType w:val="multilevel"/>
    <w:tmpl w:val="5074F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F867DE"/>
    <w:multiLevelType w:val="multilevel"/>
    <w:tmpl w:val="1B665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8F3210"/>
    <w:multiLevelType w:val="multilevel"/>
    <w:tmpl w:val="A4329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C20DD2"/>
    <w:multiLevelType w:val="multilevel"/>
    <w:tmpl w:val="D52C8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FD34D4"/>
    <w:multiLevelType w:val="multilevel"/>
    <w:tmpl w:val="D02A8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85532DB"/>
    <w:multiLevelType w:val="multilevel"/>
    <w:tmpl w:val="6172C8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9BB58A6"/>
    <w:multiLevelType w:val="multilevel"/>
    <w:tmpl w:val="324253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5530217">
    <w:abstractNumId w:val="4"/>
  </w:num>
  <w:num w:numId="2" w16cid:durableId="2140607283">
    <w:abstractNumId w:val="9"/>
  </w:num>
  <w:num w:numId="3" w16cid:durableId="1884364711">
    <w:abstractNumId w:val="7"/>
  </w:num>
  <w:num w:numId="4" w16cid:durableId="442962052">
    <w:abstractNumId w:val="12"/>
  </w:num>
  <w:num w:numId="5" w16cid:durableId="1722749857">
    <w:abstractNumId w:val="10"/>
  </w:num>
  <w:num w:numId="6" w16cid:durableId="818688690">
    <w:abstractNumId w:val="5"/>
  </w:num>
  <w:num w:numId="7" w16cid:durableId="1551185465">
    <w:abstractNumId w:val="1"/>
  </w:num>
  <w:num w:numId="8" w16cid:durableId="1317758104">
    <w:abstractNumId w:val="11"/>
  </w:num>
  <w:num w:numId="9" w16cid:durableId="8825">
    <w:abstractNumId w:val="0"/>
  </w:num>
  <w:num w:numId="10" w16cid:durableId="240718803">
    <w:abstractNumId w:val="8"/>
  </w:num>
  <w:num w:numId="11" w16cid:durableId="385956044">
    <w:abstractNumId w:val="3"/>
  </w:num>
  <w:num w:numId="12" w16cid:durableId="1684356324">
    <w:abstractNumId w:val="2"/>
  </w:num>
  <w:num w:numId="13" w16cid:durableId="2550949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CA6"/>
    <w:rsid w:val="00051CA6"/>
    <w:rsid w:val="0007555B"/>
    <w:rsid w:val="00234045"/>
    <w:rsid w:val="00234327"/>
    <w:rsid w:val="002C1D34"/>
    <w:rsid w:val="00325547"/>
    <w:rsid w:val="003507C7"/>
    <w:rsid w:val="00365767"/>
    <w:rsid w:val="003D733B"/>
    <w:rsid w:val="00457DCB"/>
    <w:rsid w:val="005329E4"/>
    <w:rsid w:val="005B1D34"/>
    <w:rsid w:val="00691BEC"/>
    <w:rsid w:val="00786C86"/>
    <w:rsid w:val="007E5496"/>
    <w:rsid w:val="00885044"/>
    <w:rsid w:val="00944414"/>
    <w:rsid w:val="00B464D1"/>
    <w:rsid w:val="00B5106B"/>
    <w:rsid w:val="00C010D0"/>
    <w:rsid w:val="00C2177D"/>
    <w:rsid w:val="00C86EA8"/>
    <w:rsid w:val="00D0243B"/>
    <w:rsid w:val="00DB41E6"/>
    <w:rsid w:val="00DB7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66587"/>
  <w15:chartTrackingRefBased/>
  <w15:docId w15:val="{A2A3F5F0-561B-4568-B300-E1B0449B5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0" w:line="250" w:lineRule="auto"/>
    </w:pPr>
    <w:rPr>
      <w:rFonts w:ascii="Aptos" w:eastAsia="Aptos" w:hAnsi="Aptos"/>
      <w:color w:val="333333"/>
      <w:sz w:val="20"/>
    </w:rPr>
  </w:style>
  <w:style w:type="paragraph" w:styleId="Heading1">
    <w:name w:val="heading 1"/>
    <w:basedOn w:val="Normal"/>
    <w:next w:val="Normal"/>
    <w:link w:val="Heading1Char"/>
    <w:uiPriority w:val="9"/>
    <w:qFormat/>
    <w:rsid w:val="00051CA6"/>
    <w:pPr>
      <w:keepNext/>
      <w:keepLines/>
      <w:spacing w:before="360"/>
      <w:outlineLvl w:val="0"/>
    </w:pPr>
    <w:rPr>
      <w:rFonts w:asciiTheme="majorHAnsi" w:eastAsiaTheme="majorEastAsia" w:hAnsiTheme="majorHAnsi" w:cstheme="majorBidi"/>
      <w:b/>
      <w:color w:val="000000"/>
      <w:sz w:val="22"/>
      <w:szCs w:val="40"/>
    </w:rPr>
  </w:style>
  <w:style w:type="paragraph" w:styleId="Heading2">
    <w:name w:val="heading 2"/>
    <w:basedOn w:val="Normal"/>
    <w:next w:val="Normal"/>
    <w:link w:val="Heading2Char"/>
    <w:uiPriority w:val="9"/>
    <w:semiHidden/>
    <w:unhideWhenUsed/>
    <w:qFormat/>
    <w:rsid w:val="00051CA6"/>
    <w:pPr>
      <w:keepNext/>
      <w:keepLines/>
      <w:spacing w:before="160"/>
      <w:outlineLvl w:val="1"/>
    </w:pPr>
    <w:rPr>
      <w:rFonts w:asciiTheme="majorHAnsi" w:eastAsiaTheme="majorEastAsia" w:hAnsiTheme="majorHAnsi" w:cstheme="majorBidi"/>
      <w:b/>
      <w:color w:val="000000"/>
      <w:sz w:val="22"/>
      <w:szCs w:val="32"/>
    </w:rPr>
  </w:style>
  <w:style w:type="paragraph" w:styleId="Heading3">
    <w:name w:val="heading 3"/>
    <w:basedOn w:val="Normal"/>
    <w:next w:val="Normal"/>
    <w:link w:val="Heading3Char"/>
    <w:uiPriority w:val="9"/>
    <w:semiHidden/>
    <w:unhideWhenUsed/>
    <w:qFormat/>
    <w:rsid w:val="00051CA6"/>
    <w:pPr>
      <w:keepNext/>
      <w:keepLines/>
      <w:spacing w:before="160"/>
      <w:outlineLvl w:val="2"/>
    </w:pPr>
    <w:rPr>
      <w:rFonts w:ascii="Arial" w:eastAsiaTheme="majorEastAsia" w:hAnsi="Arial" w:cstheme="majorBidi"/>
      <w:b/>
      <w:color w:val="000000"/>
      <w:sz w:val="22"/>
      <w:szCs w:val="28"/>
    </w:rPr>
  </w:style>
  <w:style w:type="paragraph" w:styleId="Heading4">
    <w:name w:val="heading 4"/>
    <w:basedOn w:val="Normal"/>
    <w:next w:val="Normal"/>
    <w:link w:val="Heading4Char"/>
    <w:uiPriority w:val="9"/>
    <w:semiHidden/>
    <w:unhideWhenUsed/>
    <w:qFormat/>
    <w:rsid w:val="00051CA6"/>
    <w:pPr>
      <w:keepNext/>
      <w:keepLines/>
      <w:spacing w:before="80" w:after="40"/>
      <w:outlineLvl w:val="3"/>
    </w:pPr>
    <w:rPr>
      <w:rFonts w:ascii="Arial" w:eastAsiaTheme="majorEastAsia" w:hAnsi="Arial" w:cstheme="majorBidi"/>
      <w:b/>
      <w:i/>
      <w:iCs/>
      <w:color w:val="000000"/>
      <w:sz w:val="22"/>
    </w:rPr>
  </w:style>
  <w:style w:type="paragraph" w:styleId="Heading5">
    <w:name w:val="heading 5"/>
    <w:basedOn w:val="Normal"/>
    <w:next w:val="Normal"/>
    <w:link w:val="Heading5Char"/>
    <w:uiPriority w:val="9"/>
    <w:semiHidden/>
    <w:unhideWhenUsed/>
    <w:qFormat/>
    <w:rsid w:val="00051C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1C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1C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1C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1C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1C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1C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1C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1C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1C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1C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1C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1C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1CA6"/>
    <w:rPr>
      <w:rFonts w:eastAsiaTheme="majorEastAsia" w:cstheme="majorBidi"/>
      <w:color w:val="272727" w:themeColor="text1" w:themeTint="D8"/>
    </w:rPr>
  </w:style>
  <w:style w:type="paragraph" w:styleId="Title">
    <w:name w:val="Title"/>
    <w:basedOn w:val="Normal"/>
    <w:next w:val="Normal"/>
    <w:link w:val="TitleChar"/>
    <w:uiPriority w:val="10"/>
    <w:qFormat/>
    <w:rsid w:val="00051CA6"/>
    <w:pPr>
      <w:spacing w:line="240" w:lineRule="auto"/>
      <w:contextualSpacing/>
    </w:pPr>
    <w:rPr>
      <w:rFonts w:asciiTheme="majorHAnsi" w:eastAsiaTheme="majorEastAsia" w:hAnsiTheme="majorHAnsi" w:cstheme="majorBidi"/>
      <w:b/>
      <w:color w:val="000000"/>
      <w:spacing w:val="-10"/>
      <w:kern w:val="28"/>
      <w:sz w:val="28"/>
      <w:szCs w:val="56"/>
    </w:rPr>
  </w:style>
  <w:style w:type="character" w:customStyle="1" w:styleId="TitleChar">
    <w:name w:val="Title Char"/>
    <w:basedOn w:val="DefaultParagraphFont"/>
    <w:link w:val="Title"/>
    <w:uiPriority w:val="10"/>
    <w:rsid w:val="00051C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1C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1C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1CA6"/>
    <w:pPr>
      <w:spacing w:before="160"/>
      <w:jc w:val="center"/>
    </w:pPr>
    <w:rPr>
      <w:i/>
      <w:iCs/>
      <w:color w:val="404040" w:themeColor="text1" w:themeTint="BF"/>
    </w:rPr>
  </w:style>
  <w:style w:type="character" w:customStyle="1" w:styleId="QuoteChar">
    <w:name w:val="Quote Char"/>
    <w:basedOn w:val="DefaultParagraphFont"/>
    <w:link w:val="Quote"/>
    <w:uiPriority w:val="29"/>
    <w:rsid w:val="00051CA6"/>
    <w:rPr>
      <w:i/>
      <w:iCs/>
      <w:color w:val="404040" w:themeColor="text1" w:themeTint="BF"/>
    </w:rPr>
  </w:style>
  <w:style w:type="paragraph" w:styleId="ListParagraph">
    <w:name w:val="List Paragraph"/>
    <w:basedOn w:val="Normal"/>
    <w:uiPriority w:val="34"/>
    <w:qFormat/>
    <w:rsid w:val="00051CA6"/>
    <w:pPr>
      <w:ind w:left="720"/>
      <w:contextualSpacing/>
    </w:pPr>
  </w:style>
  <w:style w:type="character" w:styleId="IntenseEmphasis">
    <w:name w:val="Intense Emphasis"/>
    <w:basedOn w:val="DefaultParagraphFont"/>
    <w:uiPriority w:val="21"/>
    <w:qFormat/>
    <w:rsid w:val="00051CA6"/>
    <w:rPr>
      <w:i/>
      <w:iCs/>
      <w:color w:val="0F4761" w:themeColor="accent1" w:themeShade="BF"/>
    </w:rPr>
  </w:style>
  <w:style w:type="paragraph" w:styleId="IntenseQuote">
    <w:name w:val="Intense Quote"/>
    <w:basedOn w:val="Normal"/>
    <w:next w:val="Normal"/>
    <w:link w:val="IntenseQuoteChar"/>
    <w:uiPriority w:val="30"/>
    <w:qFormat/>
    <w:rsid w:val="00051C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1CA6"/>
    <w:rPr>
      <w:i/>
      <w:iCs/>
      <w:color w:val="0F4761" w:themeColor="accent1" w:themeShade="BF"/>
    </w:rPr>
  </w:style>
  <w:style w:type="character" w:styleId="IntenseReference">
    <w:name w:val="Intense Reference"/>
    <w:basedOn w:val="DefaultParagraphFont"/>
    <w:uiPriority w:val="32"/>
    <w:qFormat/>
    <w:rsid w:val="00051CA6"/>
    <w:rPr>
      <w:b/>
      <w:bCs/>
      <w:smallCaps/>
      <w:color w:val="0F4761" w:themeColor="accent1" w:themeShade="BF"/>
      <w:spacing w:val="5"/>
    </w:rPr>
  </w:style>
  <w:style w:type="paragraph" w:styleId="Header">
    <w:name w:val="header"/>
    <w:basedOn w:val="Normal"/>
    <w:link w:val="HeaderChar"/>
    <w:uiPriority w:val="99"/>
    <w:unhideWhenUsed/>
    <w:rsid w:val="00051C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1CA6"/>
  </w:style>
  <w:style w:type="paragraph" w:styleId="Footer">
    <w:name w:val="footer"/>
    <w:basedOn w:val="Normal"/>
    <w:link w:val="FooterChar"/>
    <w:uiPriority w:val="99"/>
    <w:unhideWhenUsed/>
    <w:rsid w:val="00051C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1CA6"/>
  </w:style>
  <w:style w:type="table" w:styleId="TableGrid">
    <w:name w:val="Table Grid"/>
    <w:basedOn w:val="TableNormal"/>
    <w:uiPriority w:val="39"/>
    <w:rsid w:val="00051C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C9B6CEE4254034E8DD9D5E94621F18A" ma:contentTypeVersion="12" ma:contentTypeDescription="Create a new document." ma:contentTypeScope="" ma:versionID="c2e65323f512c6a515c18d2b8b1fb794">
  <xsd:schema xmlns:xsd="http://www.w3.org/2001/XMLSchema" xmlns:xs="http://www.w3.org/2001/XMLSchema" xmlns:p="http://schemas.microsoft.com/office/2006/metadata/properties" xmlns:ns2="8438084b-e005-4a8b-ad58-f27396e5ccc5" xmlns:ns3="4450dfb5-0075-48d7-b1c5-f913c101e4f1" targetNamespace="http://schemas.microsoft.com/office/2006/metadata/properties" ma:root="true" ma:fieldsID="283d073cf7a9a7835afaaaaad2618a57" ns2:_="" ns3:_="">
    <xsd:import namespace="8438084b-e005-4a8b-ad58-f27396e5ccc5"/>
    <xsd:import namespace="4450dfb5-0075-48d7-b1c5-f913c101e4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8084b-e005-4a8b-ad58-f27396e5cc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5fa2b7e-921a-4024-8077-4c46288a4eb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50dfb5-0075-48d7-b1c5-f913c101e4f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f9f081-b9e5-4a23-8f8b-aee9ab090940}" ma:internalName="TaxCatchAll" ma:showField="CatchAllData" ma:web="4450dfb5-0075-48d7-b1c5-f913c101e4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450dfb5-0075-48d7-b1c5-f913c101e4f1" xsi:nil="true"/>
    <lcf76f155ced4ddcb4097134ff3c332f xmlns="8438084b-e005-4a8b-ad58-f27396e5ccc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073562F-3401-476F-940F-96BEE929B142}">
  <ds:schemaRefs>
    <ds:schemaRef ds:uri="http://schemas.microsoft.com/sharepoint/v3/contenttype/forms"/>
  </ds:schemaRefs>
</ds:datastoreItem>
</file>

<file path=customXml/itemProps2.xml><?xml version="1.0" encoding="utf-8"?>
<ds:datastoreItem xmlns:ds="http://schemas.openxmlformats.org/officeDocument/2006/customXml" ds:itemID="{B59665C8-85D2-4C81-A2D4-D29B97990B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38084b-e005-4a8b-ad58-f27396e5ccc5"/>
    <ds:schemaRef ds:uri="4450dfb5-0075-48d7-b1c5-f913c101e4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132F9E-3DF2-4FD5-B8B7-A639D2647505}">
  <ds:schemaRefs>
    <ds:schemaRef ds:uri="http://schemas.microsoft.com/office/2006/metadata/properties"/>
    <ds:schemaRef ds:uri="http://schemas.microsoft.com/office/infopath/2007/PartnerControls"/>
    <ds:schemaRef ds:uri="4450dfb5-0075-48d7-b1c5-f913c101e4f1"/>
    <ds:schemaRef ds:uri="8438084b-e005-4a8b-ad58-f27396e5ccc5"/>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521</Words>
  <Characters>2972</Characters>
  <Application>Microsoft Office Word</Application>
  <DocSecurity>0</DocSecurity>
  <Lines>24</Lines>
  <Paragraphs>6</Paragraphs>
  <ScaleCrop>false</ScaleCrop>
  <Company/>
  <LinksUpToDate>false</LinksUpToDate>
  <CharactersWithSpaces>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Tertia Turner</dc:creator>
  <cp:keywords/>
  <dc:description/>
  <cp:lastModifiedBy>Tertia Turner</cp:lastModifiedBy>
  <cp:revision>9</cp:revision>
  <dcterms:created xsi:type="dcterms:W3CDTF">2025-08-08T10:44:00Z</dcterms:created>
  <dcterms:modified xsi:type="dcterms:W3CDTF">2026-09-24T11:09:00Z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0x0101001C9B6CEE4254034E8DD9D5E94621F18A</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