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C3560" w14:textId="77777777" w:rsidR="00B809FD" w:rsidRDefault="005F35AB">
      <w:pPr>
        <w:pStyle w:val="Heading1"/>
        <w:spacing w:before="100" w:after="200"/>
        <w:jc w:val="center"/>
      </w:pPr>
      <w:r>
        <w:rPr>
          <w:rFonts w:ascii="Aptos" w:eastAsia="Aptos" w:hAnsi="Aptos"/>
          <w:color w:val="6F1E6C"/>
          <w:sz w:val="34"/>
        </w:rPr>
        <w:t>Curriculum Policy</w:t>
      </w:r>
    </w:p>
    <w:p w14:paraId="4228A485" w14:textId="77777777" w:rsidR="00B809FD" w:rsidRDefault="00B809FD">
      <w:pPr>
        <w:spacing w:after="40"/>
      </w:pPr>
    </w:p>
    <w:p w14:paraId="2C3C483A" w14:textId="77777777" w:rsidR="00B809FD" w:rsidRDefault="005F35AB">
      <w:pPr>
        <w:pStyle w:val="Heading2"/>
        <w:spacing w:before="140" w:after="60"/>
      </w:pPr>
      <w:r>
        <w:rPr>
          <w:rFonts w:ascii="Aptos" w:eastAsia="Aptos" w:hAnsi="Aptos"/>
          <w:color w:val="92278F"/>
          <w:sz w:val="23"/>
        </w:rPr>
        <w:t>1. Intent</w:t>
      </w:r>
    </w:p>
    <w:p w14:paraId="1FAB9E9B" w14:textId="77777777" w:rsidR="00B809FD" w:rsidRDefault="005F35AB">
      <w:pPr>
        <w:keepLines/>
        <w:spacing w:after="70"/>
      </w:pPr>
      <w:r>
        <w:t>The curriculum is designed for pupils with SEND who often arrive with disrupted education, anxiety, EBSA or gaps in prior learning. It aims to rebuild engagement, secure strong foundations, support recognised qualifications and prepare pupils for adulthood and their next destination.</w:t>
      </w:r>
    </w:p>
    <w:p w14:paraId="15F0695E" w14:textId="77777777" w:rsidR="00B809FD" w:rsidRDefault="005F35AB">
      <w:pPr>
        <w:pStyle w:val="Heading2"/>
        <w:spacing w:before="140" w:after="60"/>
      </w:pPr>
      <w:r>
        <w:rPr>
          <w:rFonts w:ascii="Aptos" w:eastAsia="Aptos" w:hAnsi="Aptos"/>
          <w:color w:val="92278F"/>
          <w:sz w:val="23"/>
        </w:rPr>
        <w:t>2. Curriculum Principles</w:t>
      </w:r>
    </w:p>
    <w:p w14:paraId="4306F272" w14:textId="77777777" w:rsidR="00B809FD" w:rsidRDefault="005F35AB">
      <w:pPr>
        <w:keepLines/>
        <w:spacing w:after="70"/>
        <w:ind w:left="259" w:hanging="173"/>
      </w:pPr>
      <w:r>
        <w:t>• A broad, balanced and relevant curriculum appropriate to age, aptitude, ability and SEND.</w:t>
      </w:r>
    </w:p>
    <w:p w14:paraId="7C8FDB33" w14:textId="77777777" w:rsidR="00B809FD" w:rsidRDefault="005F35AB">
      <w:pPr>
        <w:keepLines/>
        <w:spacing w:after="70"/>
        <w:ind w:left="259" w:hanging="173"/>
      </w:pPr>
      <w:r>
        <w:t>• High expectations from each pupil’s starting point.</w:t>
      </w:r>
    </w:p>
    <w:p w14:paraId="35D920EC" w14:textId="77777777" w:rsidR="00B809FD" w:rsidRDefault="005F35AB">
      <w:pPr>
        <w:keepLines/>
        <w:spacing w:after="70"/>
        <w:ind w:left="259" w:hanging="173"/>
      </w:pPr>
      <w:r>
        <w:t xml:space="preserve">• </w:t>
      </w:r>
      <w:r>
        <w:t>Small-group and personalised teaching with reasonable adjustments.</w:t>
      </w:r>
    </w:p>
    <w:p w14:paraId="65D0DF10" w14:textId="77777777" w:rsidR="00B809FD" w:rsidRDefault="005F35AB">
      <w:pPr>
        <w:keepLines/>
        <w:spacing w:after="70"/>
        <w:ind w:left="259" w:hanging="173"/>
      </w:pPr>
      <w:r>
        <w:t>• Clear routes to GCSE, Entry Level, Functional Skills and ASDAN where appropriate.</w:t>
      </w:r>
    </w:p>
    <w:p w14:paraId="190A6725" w14:textId="77777777" w:rsidR="00B809FD" w:rsidRDefault="005F35AB">
      <w:pPr>
        <w:keepLines/>
        <w:spacing w:after="70"/>
        <w:ind w:left="259" w:hanging="173"/>
      </w:pPr>
      <w:r>
        <w:t>• Literacy, numeracy, personal development, careers and preparation for adulthood are embedded across provision.</w:t>
      </w:r>
    </w:p>
    <w:p w14:paraId="3F23B35C" w14:textId="77777777" w:rsidR="00B809FD" w:rsidRDefault="005F35AB">
      <w:pPr>
        <w:pStyle w:val="Heading2"/>
        <w:spacing w:before="140" w:after="60"/>
      </w:pPr>
      <w:r>
        <w:rPr>
          <w:rFonts w:ascii="Aptos" w:eastAsia="Aptos" w:hAnsi="Aptos"/>
          <w:color w:val="92278F"/>
          <w:sz w:val="23"/>
        </w:rPr>
        <w:t>3. Curriculum Offer</w:t>
      </w:r>
    </w:p>
    <w:p w14:paraId="57A49DBF" w14:textId="77777777" w:rsidR="00B809FD" w:rsidRDefault="005F35AB">
      <w:pPr>
        <w:keepLines/>
        <w:spacing w:after="70"/>
      </w:pPr>
      <w:r>
        <w:t>The curriculum includes English, mathematics, science, humanities, citizenship, RSHE/PSHE, ICT/computing, food technology, art, physical activity/enrichment and other subjects or interventions according to pupil need and timetable. Biology is the principal GCSE science route for many pupils, with alternative science qualifications used where more appropriate.</w:t>
      </w:r>
    </w:p>
    <w:p w14:paraId="6144939B" w14:textId="77777777" w:rsidR="00B809FD" w:rsidRDefault="005F35AB">
      <w:pPr>
        <w:pStyle w:val="Heading2"/>
        <w:spacing w:before="140" w:after="60"/>
      </w:pPr>
      <w:r>
        <w:rPr>
          <w:rFonts w:ascii="Aptos" w:eastAsia="Aptos" w:hAnsi="Aptos"/>
          <w:color w:val="92278F"/>
          <w:sz w:val="23"/>
        </w:rPr>
        <w:t>4. Pathways and Qualifications</w:t>
      </w:r>
    </w:p>
    <w:p w14:paraId="1EDF9EBE" w14:textId="77777777" w:rsidR="00B809FD" w:rsidRDefault="005F35AB">
      <w:pPr>
        <w:keepLines/>
        <w:spacing w:after="70"/>
      </w:pPr>
      <w:r>
        <w:t>Pupils follow personalised pathways according to starting point, need and destination. The school may use its established Pathways 1, 2 and 3 framework alongside GCSE, Entry Level, Functional Skills and ASDAN programmes. Entry decisions are based on evidence and are kept under review.</w:t>
      </w:r>
    </w:p>
    <w:p w14:paraId="03D9950D" w14:textId="77777777" w:rsidR="00B809FD" w:rsidRDefault="005F35AB">
      <w:pPr>
        <w:pStyle w:val="Heading2"/>
        <w:spacing w:before="140" w:after="60"/>
      </w:pPr>
      <w:r>
        <w:rPr>
          <w:rFonts w:ascii="Aptos" w:eastAsia="Aptos" w:hAnsi="Aptos"/>
          <w:color w:val="92278F"/>
          <w:sz w:val="23"/>
        </w:rPr>
        <w:t>5. Reading and Literacy</w:t>
      </w:r>
    </w:p>
    <w:p w14:paraId="4D37C5C6" w14:textId="77777777" w:rsidR="00B809FD" w:rsidRDefault="005F35AB">
      <w:pPr>
        <w:keepLines/>
        <w:spacing w:after="70"/>
      </w:pPr>
      <w:r>
        <w:t>From September 2026 the school operates a structured whole-school reading approach. Reading is supported across subjects, with a dedicated reading-focused lesson or activity, targeted intervention where needed, access to appropriate books and library resources, and support for vocabulary, comprehension, fluency and reading confidence.</w:t>
      </w:r>
    </w:p>
    <w:p w14:paraId="6FAB23A7" w14:textId="77777777" w:rsidR="00B809FD" w:rsidRDefault="005F35AB">
      <w:pPr>
        <w:pStyle w:val="Heading2"/>
        <w:spacing w:before="140" w:after="60"/>
      </w:pPr>
      <w:r>
        <w:rPr>
          <w:rFonts w:ascii="Aptos" w:eastAsia="Aptos" w:hAnsi="Aptos"/>
          <w:color w:val="92278F"/>
          <w:sz w:val="23"/>
        </w:rPr>
        <w:t>6. Pathways Extension Programme (PEP)</w:t>
      </w:r>
    </w:p>
    <w:p w14:paraId="1383BEFF" w14:textId="77777777" w:rsidR="00B809FD" w:rsidRDefault="005F35AB">
      <w:pPr>
        <w:keepLines/>
        <w:spacing w:after="70"/>
      </w:pPr>
      <w:r>
        <w:t>PEP provides practical personal-development learning that broadens pupils’ skills and experiences. Modules may include social communication, RSHE, independent travel and road safety, study skills, community participation, employability, careers, independent living and preparation for adulthood. Specialist components may be delivered by suitably trained staff.</w:t>
      </w:r>
    </w:p>
    <w:p w14:paraId="404303E5" w14:textId="77777777" w:rsidR="00B809FD" w:rsidRDefault="005F35AB">
      <w:pPr>
        <w:pStyle w:val="Heading2"/>
        <w:spacing w:before="140" w:after="60"/>
      </w:pPr>
      <w:r>
        <w:rPr>
          <w:rFonts w:ascii="Aptos" w:eastAsia="Aptos" w:hAnsi="Aptos"/>
          <w:color w:val="92278F"/>
          <w:sz w:val="23"/>
        </w:rPr>
        <w:t>7. SEND and Access</w:t>
      </w:r>
    </w:p>
    <w:p w14:paraId="65F93810" w14:textId="77777777" w:rsidR="00B809FD" w:rsidRDefault="005F35AB">
      <w:pPr>
        <w:keepLines/>
        <w:spacing w:after="70"/>
      </w:pPr>
      <w:r>
        <w:t>Curriculum planning takes account of EHCP outcomes, communication needs, sensory and emotional regulation, access arrangements and assistive technology. Adjustments are made without unnecessarily lowering expectations.</w:t>
      </w:r>
    </w:p>
    <w:p w14:paraId="24E8AFC8" w14:textId="77777777" w:rsidR="00B809FD" w:rsidRDefault="005F35AB">
      <w:pPr>
        <w:pStyle w:val="Heading2"/>
        <w:spacing w:before="140" w:after="60"/>
      </w:pPr>
      <w:r>
        <w:rPr>
          <w:rFonts w:ascii="Aptos" w:eastAsia="Aptos" w:hAnsi="Aptos"/>
          <w:color w:val="92278F"/>
          <w:sz w:val="23"/>
        </w:rPr>
        <w:t>8. Monitoring and Impact</w:t>
      </w:r>
    </w:p>
    <w:p w14:paraId="0DAC49B3" w14:textId="77777777" w:rsidR="00B809FD" w:rsidRDefault="005F35AB">
      <w:pPr>
        <w:keepLines/>
        <w:spacing w:after="70"/>
      </w:pPr>
      <w:r>
        <w:t>The Headteacher has overall responsibility for curriculum quality. Subject leaders monitor schemes of work, teaching and pupil progress. Impact is evaluated through qualification outcomes, progress from starting points, attendance and engagement, destinations, work scrutiny, lesson visits and pupil/parent voice.</w:t>
      </w:r>
    </w:p>
    <w:p w14:paraId="25941ACA" w14:textId="77777777" w:rsidR="00B809FD" w:rsidRDefault="00B809FD">
      <w:pPr>
        <w:spacing w:before="120"/>
      </w:pPr>
    </w:p>
    <w:tbl>
      <w:tblPr>
        <w:tblStyle w:val="TableGrid"/>
        <w:tblW w:w="0" w:type="auto"/>
        <w:jc w:val="center"/>
        <w:tblLook w:val="04A0" w:firstRow="1" w:lastRow="0" w:firstColumn="1" w:lastColumn="0" w:noHBand="0" w:noVBand="1"/>
      </w:tblPr>
      <w:tblGrid>
        <w:gridCol w:w="2689"/>
        <w:gridCol w:w="4961"/>
        <w:gridCol w:w="1366"/>
      </w:tblGrid>
      <w:tr w:rsidR="00283B27" w:rsidRPr="00283B27" w14:paraId="1D33548F" w14:textId="77777777" w:rsidTr="00EE2FEB">
        <w:trPr>
          <w:cantSplit/>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3DD48B27" w14:textId="77777777" w:rsidR="00B809FD" w:rsidRDefault="00B809FD">
            <w:pPr>
              <w:keepNext/>
              <w:keepLines/>
              <w:spacing w:after="0"/>
            </w:pPr>
          </w:p>
        </w:tc>
        <w:tc>
          <w:tcPr>
            <w:tcW w:w="4961"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tcPr>
          <w:p w14:paraId="1DEB33DB" w14:textId="77777777" w:rsidR="00B809FD" w:rsidRDefault="005F35AB">
            <w:pPr>
              <w:keepNext/>
              <w:keepLines/>
              <w:spacing w:after="0"/>
            </w:pPr>
            <w:r>
              <w:rPr>
                <w:b/>
                <w:color w:val="FFFFFF"/>
                <w:sz w:val="19"/>
              </w:rPr>
              <w:t>By whom</w:t>
            </w:r>
          </w:p>
        </w:tc>
        <w:tc>
          <w:tcPr>
            <w:tcW w:w="1366"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6331267B" w14:textId="77777777" w:rsidR="00B809FD" w:rsidRDefault="005F35AB">
            <w:pPr>
              <w:keepNext/>
              <w:keepLines/>
              <w:spacing w:after="0"/>
            </w:pPr>
            <w:r>
              <w:rPr>
                <w:b/>
                <w:color w:val="FFFFFF"/>
                <w:sz w:val="19"/>
              </w:rPr>
              <w:t>Date</w:t>
            </w:r>
          </w:p>
        </w:tc>
      </w:tr>
      <w:tr w:rsidR="00283B27" w:rsidRPr="00283B27" w14:paraId="3F11DF17"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6F9E3949" w14:textId="77777777" w:rsidR="00B809FD" w:rsidRDefault="005F35AB">
            <w:pPr>
              <w:keepNext/>
              <w:keepLines/>
              <w:spacing w:after="0"/>
            </w:pPr>
            <w:r>
              <w:rPr>
                <w:b/>
                <w:color w:val="6F1E6C"/>
                <w:sz w:val="19"/>
              </w:rPr>
              <w:t>Policy signed off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2408A859" w14:textId="77777777" w:rsidR="00B809FD" w:rsidRDefault="005F35AB">
            <w:pPr>
              <w:keepNext/>
              <w:keepLines/>
              <w:spacing w:after="0"/>
            </w:pPr>
            <w:r>
              <w:rPr>
                <w:sz w:val="19"/>
              </w:rPr>
              <w:t>Mario Di Clemente</w:t>
            </w: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7B2F1780" w14:textId="77777777" w:rsidR="00B809FD" w:rsidRDefault="005F35AB">
            <w:pPr>
              <w:keepNext/>
              <w:keepLines/>
              <w:spacing w:after="0"/>
            </w:pPr>
            <w:r>
              <w:rPr>
                <w:sz w:val="19"/>
              </w:rPr>
              <w:t>September 2026</w:t>
            </w:r>
          </w:p>
        </w:tc>
      </w:tr>
      <w:tr w:rsidR="00283B27" w:rsidRPr="00283B27" w14:paraId="4086C936"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58A57A0B" w14:textId="77777777" w:rsidR="00B809FD" w:rsidRDefault="005F35AB">
            <w:pPr>
              <w:keepNext/>
              <w:keepLines/>
              <w:spacing w:after="0"/>
            </w:pPr>
            <w:r>
              <w:rPr>
                <w:b/>
                <w:color w:val="6F1E6C"/>
                <w:sz w:val="19"/>
              </w:rPr>
              <w:t>Reviewed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5F47CB3D" w14:textId="77777777" w:rsidR="00B809FD" w:rsidRDefault="00B809FD">
            <w:pPr>
              <w:keepNext/>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604CDBCB" w14:textId="77777777" w:rsidR="00B809FD" w:rsidRDefault="00B809FD">
            <w:pPr>
              <w:keepNext/>
              <w:keepLines/>
              <w:spacing w:after="0"/>
            </w:pPr>
          </w:p>
        </w:tc>
      </w:tr>
      <w:tr w:rsidR="00283B27" w:rsidRPr="00283B27" w14:paraId="6547DADA"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7F98E584" w14:textId="77777777" w:rsidR="00B809FD" w:rsidRDefault="005F35AB">
            <w:pPr>
              <w:keepLines/>
              <w:spacing w:after="0"/>
            </w:pPr>
            <w:r>
              <w:rPr>
                <w:b/>
                <w:color w:val="6F1E6C"/>
                <w:sz w:val="19"/>
              </w:rPr>
              <w:t>Next Review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27A9F2F0" w14:textId="77777777" w:rsidR="00B809FD" w:rsidRDefault="00B809FD">
            <w:pPr>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3DD9AFF0" w14:textId="77777777" w:rsidR="00B809FD" w:rsidRDefault="005F35AB">
            <w:pPr>
              <w:keepLines/>
              <w:spacing w:after="0"/>
            </w:pPr>
            <w:r>
              <w:rPr>
                <w:sz w:val="19"/>
              </w:rPr>
              <w:t>September 2027</w:t>
            </w:r>
          </w:p>
        </w:tc>
      </w:tr>
    </w:tbl>
    <w:p w14:paraId="4C9195D3" w14:textId="77777777" w:rsidR="005F35AB" w:rsidRDefault="005F35AB"/>
    <w:sectPr w:rsidR="005F35AB">
      <w:headerReference w:type="even" r:id="rId10"/>
      <w:headerReference w:type="default" r:id="rId11"/>
      <w:footerReference w:type="even" r:id="rId12"/>
      <w:footerReference w:type="default" r:id="rId13"/>
      <w:headerReference w:type="first" r:id="rId14"/>
      <w:footerReference w:type="first" r:id="rId15"/>
      <w:pgSz w:w="11906" w:h="16838"/>
      <w:pgMar w:top="1037" w:right="1037" w:bottom="1037" w:left="1037" w:header="259"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1FBA8" w14:textId="77777777" w:rsidR="005F35AB" w:rsidRDefault="005F35AB" w:rsidP="00CB781F">
      <w:pPr>
        <w:spacing w:after="0" w:line="240" w:lineRule="auto"/>
      </w:pPr>
      <w:r>
        <w:separator/>
      </w:r>
    </w:p>
  </w:endnote>
  <w:endnote w:type="continuationSeparator" w:id="0">
    <w:p w14:paraId="64D7C82C" w14:textId="77777777" w:rsidR="005F35AB" w:rsidRDefault="005F35AB" w:rsidP="00CB7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B5001" w14:textId="77777777" w:rsidR="003F4191" w:rsidRDefault="003F41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605DA" w14:textId="77777777" w:rsidR="003F4191" w:rsidRDefault="003F41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53160" w14:textId="77777777" w:rsidR="003F4191" w:rsidRDefault="003F41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09765" w14:textId="77777777" w:rsidR="005F35AB" w:rsidRDefault="005F35AB" w:rsidP="00CB781F">
      <w:pPr>
        <w:spacing w:after="0" w:line="240" w:lineRule="auto"/>
      </w:pPr>
      <w:r>
        <w:separator/>
      </w:r>
    </w:p>
  </w:footnote>
  <w:footnote w:type="continuationSeparator" w:id="0">
    <w:p w14:paraId="5AC21916" w14:textId="77777777" w:rsidR="005F35AB" w:rsidRDefault="005F35AB" w:rsidP="00CB78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F8195" w14:textId="77777777" w:rsidR="003F4191" w:rsidRDefault="003F41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3201E" w14:textId="7AB68321" w:rsidR="00CB781F" w:rsidRDefault="00CB781F">
    <w:pPr>
      <w:pStyle w:val="Header"/>
      <w:pBdr>
        <w:bottom w:val="single" w:sz="10" w:space="3" w:color="92278F"/>
      </w:pBdr>
      <w:spacing w:after="40"/>
    </w:pPr>
    <w:r>
      <w:rPr>
        <w:noProof/>
      </w:rPr>
      <w:drawing>
        <wp:inline distT="0" distB="0" distL="0" distR="0" wp14:anchorId="3EDCC46A" wp14:editId="3667DEF7">
          <wp:extent cx="2148840" cy="648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2148840" cy="64852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062F1" w14:textId="77777777" w:rsidR="003F4191" w:rsidRDefault="003F41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90DDC"/>
    <w:multiLevelType w:val="multilevel"/>
    <w:tmpl w:val="DEF6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87726D"/>
    <w:multiLevelType w:val="multilevel"/>
    <w:tmpl w:val="1ACC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20FA4"/>
    <w:multiLevelType w:val="multilevel"/>
    <w:tmpl w:val="88D60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E63D1F"/>
    <w:multiLevelType w:val="multilevel"/>
    <w:tmpl w:val="174C4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5603FF"/>
    <w:multiLevelType w:val="multilevel"/>
    <w:tmpl w:val="1ED06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800E90"/>
    <w:multiLevelType w:val="multilevel"/>
    <w:tmpl w:val="BD7E04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BC7C27"/>
    <w:multiLevelType w:val="multilevel"/>
    <w:tmpl w:val="702A5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532772"/>
    <w:multiLevelType w:val="multilevel"/>
    <w:tmpl w:val="E4AAD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A83C9B"/>
    <w:multiLevelType w:val="multilevel"/>
    <w:tmpl w:val="79820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AF0BC1"/>
    <w:multiLevelType w:val="multilevel"/>
    <w:tmpl w:val="49861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5322FD"/>
    <w:multiLevelType w:val="multilevel"/>
    <w:tmpl w:val="01E06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39268D"/>
    <w:multiLevelType w:val="multilevel"/>
    <w:tmpl w:val="583EC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EA27CF"/>
    <w:multiLevelType w:val="multilevel"/>
    <w:tmpl w:val="E5C2E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674891"/>
    <w:multiLevelType w:val="multilevel"/>
    <w:tmpl w:val="6AC8E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F9372D"/>
    <w:multiLevelType w:val="multilevel"/>
    <w:tmpl w:val="FEB86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7684808">
    <w:abstractNumId w:val="2"/>
  </w:num>
  <w:num w:numId="2" w16cid:durableId="603462801">
    <w:abstractNumId w:val="0"/>
  </w:num>
  <w:num w:numId="3" w16cid:durableId="84884459">
    <w:abstractNumId w:val="1"/>
  </w:num>
  <w:num w:numId="4" w16cid:durableId="1483422995">
    <w:abstractNumId w:val="11"/>
  </w:num>
  <w:num w:numId="5" w16cid:durableId="1026055672">
    <w:abstractNumId w:val="5"/>
  </w:num>
  <w:num w:numId="6" w16cid:durableId="448865421">
    <w:abstractNumId w:val="3"/>
  </w:num>
  <w:num w:numId="7" w16cid:durableId="1121610100">
    <w:abstractNumId w:val="10"/>
  </w:num>
  <w:num w:numId="8" w16cid:durableId="768085458">
    <w:abstractNumId w:val="8"/>
  </w:num>
  <w:num w:numId="9" w16cid:durableId="368189420">
    <w:abstractNumId w:val="13"/>
  </w:num>
  <w:num w:numId="10" w16cid:durableId="1694454978">
    <w:abstractNumId w:val="9"/>
  </w:num>
  <w:num w:numId="11" w16cid:durableId="637999091">
    <w:abstractNumId w:val="12"/>
  </w:num>
  <w:num w:numId="12" w16cid:durableId="1132819846">
    <w:abstractNumId w:val="14"/>
  </w:num>
  <w:num w:numId="13" w16cid:durableId="1801993558">
    <w:abstractNumId w:val="7"/>
  </w:num>
  <w:num w:numId="14" w16cid:durableId="1534877754">
    <w:abstractNumId w:val="4"/>
  </w:num>
  <w:num w:numId="15" w16cid:durableId="10034335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81F"/>
    <w:rsid w:val="00234045"/>
    <w:rsid w:val="00234327"/>
    <w:rsid w:val="003F4191"/>
    <w:rsid w:val="005B1D34"/>
    <w:rsid w:val="005F35AB"/>
    <w:rsid w:val="00725232"/>
    <w:rsid w:val="007C5E31"/>
    <w:rsid w:val="007E5496"/>
    <w:rsid w:val="008E4D1E"/>
    <w:rsid w:val="008F66A1"/>
    <w:rsid w:val="00A0018C"/>
    <w:rsid w:val="00A87BF7"/>
    <w:rsid w:val="00B809FD"/>
    <w:rsid w:val="00C25F6B"/>
    <w:rsid w:val="00CB781F"/>
    <w:rsid w:val="00DB41E6"/>
    <w:rsid w:val="00EA56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32413"/>
  <w15:chartTrackingRefBased/>
  <w15:docId w15:val="{74D4FBF3-FF40-4BFE-80C3-3D84F7CB3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50" w:lineRule="auto"/>
    </w:pPr>
    <w:rPr>
      <w:rFonts w:ascii="Aptos" w:eastAsia="Aptos" w:hAnsi="Aptos"/>
      <w:color w:val="333333"/>
      <w:sz w:val="20"/>
    </w:rPr>
  </w:style>
  <w:style w:type="paragraph" w:styleId="Heading1">
    <w:name w:val="heading 1"/>
    <w:basedOn w:val="Normal"/>
    <w:next w:val="Normal"/>
    <w:link w:val="Heading1Char"/>
    <w:uiPriority w:val="9"/>
    <w:qFormat/>
    <w:rsid w:val="00CB781F"/>
    <w:pPr>
      <w:keepNext/>
      <w:keepLines/>
      <w:spacing w:before="360"/>
      <w:outlineLvl w:val="0"/>
    </w:pPr>
    <w:rPr>
      <w:rFonts w:asciiTheme="majorHAnsi" w:eastAsiaTheme="majorEastAsia" w:hAnsiTheme="majorHAnsi" w:cstheme="majorBidi"/>
      <w:b/>
      <w:color w:val="000000"/>
      <w:sz w:val="22"/>
      <w:szCs w:val="40"/>
    </w:rPr>
  </w:style>
  <w:style w:type="paragraph" w:styleId="Heading2">
    <w:name w:val="heading 2"/>
    <w:basedOn w:val="Normal"/>
    <w:next w:val="Normal"/>
    <w:link w:val="Heading2Char"/>
    <w:uiPriority w:val="9"/>
    <w:semiHidden/>
    <w:unhideWhenUsed/>
    <w:qFormat/>
    <w:rsid w:val="00CB781F"/>
    <w:pPr>
      <w:keepNext/>
      <w:keepLines/>
      <w:spacing w:before="160"/>
      <w:outlineLvl w:val="1"/>
    </w:pPr>
    <w:rPr>
      <w:rFonts w:asciiTheme="majorHAnsi" w:eastAsiaTheme="majorEastAsia" w:hAnsiTheme="majorHAnsi" w:cstheme="majorBidi"/>
      <w:b/>
      <w:color w:val="000000"/>
      <w:sz w:val="22"/>
      <w:szCs w:val="32"/>
    </w:rPr>
  </w:style>
  <w:style w:type="paragraph" w:styleId="Heading3">
    <w:name w:val="heading 3"/>
    <w:basedOn w:val="Normal"/>
    <w:next w:val="Normal"/>
    <w:link w:val="Heading3Char"/>
    <w:uiPriority w:val="9"/>
    <w:semiHidden/>
    <w:unhideWhenUsed/>
    <w:qFormat/>
    <w:rsid w:val="00CB781F"/>
    <w:pPr>
      <w:keepNext/>
      <w:keepLines/>
      <w:spacing w:before="160"/>
      <w:outlineLvl w:val="2"/>
    </w:pPr>
    <w:rPr>
      <w:rFonts w:ascii="Arial" w:eastAsiaTheme="majorEastAsia" w:hAnsi="Arial" w:cstheme="majorBidi"/>
      <w:b/>
      <w:color w:val="000000"/>
      <w:sz w:val="22"/>
      <w:szCs w:val="28"/>
    </w:rPr>
  </w:style>
  <w:style w:type="paragraph" w:styleId="Heading4">
    <w:name w:val="heading 4"/>
    <w:basedOn w:val="Normal"/>
    <w:next w:val="Normal"/>
    <w:link w:val="Heading4Char"/>
    <w:uiPriority w:val="9"/>
    <w:semiHidden/>
    <w:unhideWhenUsed/>
    <w:qFormat/>
    <w:rsid w:val="00CB781F"/>
    <w:pPr>
      <w:keepNext/>
      <w:keepLines/>
      <w:spacing w:before="80" w:after="40"/>
      <w:outlineLvl w:val="3"/>
    </w:pPr>
    <w:rPr>
      <w:rFonts w:ascii="Arial" w:eastAsiaTheme="majorEastAsia" w:hAnsi="Arial" w:cstheme="majorBidi"/>
      <w:b/>
      <w:i/>
      <w:iCs/>
      <w:color w:val="000000"/>
      <w:sz w:val="22"/>
    </w:rPr>
  </w:style>
  <w:style w:type="paragraph" w:styleId="Heading5">
    <w:name w:val="heading 5"/>
    <w:basedOn w:val="Normal"/>
    <w:next w:val="Normal"/>
    <w:link w:val="Heading5Char"/>
    <w:uiPriority w:val="9"/>
    <w:semiHidden/>
    <w:unhideWhenUsed/>
    <w:qFormat/>
    <w:rsid w:val="00CB78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78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78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78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78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8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78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78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78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78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78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78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78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781F"/>
    <w:rPr>
      <w:rFonts w:eastAsiaTheme="majorEastAsia" w:cstheme="majorBidi"/>
      <w:color w:val="272727" w:themeColor="text1" w:themeTint="D8"/>
    </w:rPr>
  </w:style>
  <w:style w:type="paragraph" w:styleId="Title">
    <w:name w:val="Title"/>
    <w:basedOn w:val="Normal"/>
    <w:next w:val="Normal"/>
    <w:link w:val="TitleChar"/>
    <w:uiPriority w:val="10"/>
    <w:qFormat/>
    <w:rsid w:val="00CB781F"/>
    <w:pPr>
      <w:spacing w:line="240" w:lineRule="auto"/>
      <w:contextualSpacing/>
    </w:pPr>
    <w:rPr>
      <w:rFonts w:asciiTheme="majorHAnsi" w:eastAsiaTheme="majorEastAsia" w:hAnsiTheme="majorHAnsi" w:cstheme="majorBidi"/>
      <w:b/>
      <w:color w:val="000000"/>
      <w:spacing w:val="-10"/>
      <w:kern w:val="28"/>
      <w:sz w:val="28"/>
      <w:szCs w:val="56"/>
    </w:rPr>
  </w:style>
  <w:style w:type="character" w:customStyle="1" w:styleId="TitleChar">
    <w:name w:val="Title Char"/>
    <w:basedOn w:val="DefaultParagraphFont"/>
    <w:link w:val="Title"/>
    <w:uiPriority w:val="10"/>
    <w:rsid w:val="00CB78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78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78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781F"/>
    <w:pPr>
      <w:spacing w:before="160"/>
      <w:jc w:val="center"/>
    </w:pPr>
    <w:rPr>
      <w:i/>
      <w:iCs/>
      <w:color w:val="404040" w:themeColor="text1" w:themeTint="BF"/>
    </w:rPr>
  </w:style>
  <w:style w:type="character" w:customStyle="1" w:styleId="QuoteChar">
    <w:name w:val="Quote Char"/>
    <w:basedOn w:val="DefaultParagraphFont"/>
    <w:link w:val="Quote"/>
    <w:uiPriority w:val="29"/>
    <w:rsid w:val="00CB781F"/>
    <w:rPr>
      <w:i/>
      <w:iCs/>
      <w:color w:val="404040" w:themeColor="text1" w:themeTint="BF"/>
    </w:rPr>
  </w:style>
  <w:style w:type="paragraph" w:styleId="ListParagraph">
    <w:name w:val="List Paragraph"/>
    <w:basedOn w:val="Normal"/>
    <w:uiPriority w:val="34"/>
    <w:qFormat/>
    <w:rsid w:val="00CB781F"/>
    <w:pPr>
      <w:ind w:left="720"/>
      <w:contextualSpacing/>
    </w:pPr>
  </w:style>
  <w:style w:type="character" w:styleId="IntenseEmphasis">
    <w:name w:val="Intense Emphasis"/>
    <w:basedOn w:val="DefaultParagraphFont"/>
    <w:uiPriority w:val="21"/>
    <w:qFormat/>
    <w:rsid w:val="00CB781F"/>
    <w:rPr>
      <w:i/>
      <w:iCs/>
      <w:color w:val="0F4761" w:themeColor="accent1" w:themeShade="BF"/>
    </w:rPr>
  </w:style>
  <w:style w:type="paragraph" w:styleId="IntenseQuote">
    <w:name w:val="Intense Quote"/>
    <w:basedOn w:val="Normal"/>
    <w:next w:val="Normal"/>
    <w:link w:val="IntenseQuoteChar"/>
    <w:uiPriority w:val="30"/>
    <w:qFormat/>
    <w:rsid w:val="00CB78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781F"/>
    <w:rPr>
      <w:i/>
      <w:iCs/>
      <w:color w:val="0F4761" w:themeColor="accent1" w:themeShade="BF"/>
    </w:rPr>
  </w:style>
  <w:style w:type="character" w:styleId="IntenseReference">
    <w:name w:val="Intense Reference"/>
    <w:basedOn w:val="DefaultParagraphFont"/>
    <w:uiPriority w:val="32"/>
    <w:qFormat/>
    <w:rsid w:val="00CB781F"/>
    <w:rPr>
      <w:b/>
      <w:bCs/>
      <w:smallCaps/>
      <w:color w:val="0F4761" w:themeColor="accent1" w:themeShade="BF"/>
      <w:spacing w:val="5"/>
    </w:rPr>
  </w:style>
  <w:style w:type="paragraph" w:styleId="Header">
    <w:name w:val="header"/>
    <w:basedOn w:val="Normal"/>
    <w:link w:val="HeaderChar"/>
    <w:uiPriority w:val="99"/>
    <w:unhideWhenUsed/>
    <w:rsid w:val="00CB78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781F"/>
  </w:style>
  <w:style w:type="paragraph" w:styleId="Footer">
    <w:name w:val="footer"/>
    <w:basedOn w:val="Normal"/>
    <w:link w:val="FooterChar"/>
    <w:uiPriority w:val="99"/>
    <w:unhideWhenUsed/>
    <w:rsid w:val="00CB78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781F"/>
  </w:style>
  <w:style w:type="table" w:styleId="TableGrid">
    <w:name w:val="Table Grid"/>
    <w:basedOn w:val="TableNormal"/>
    <w:uiPriority w:val="59"/>
    <w:rsid w:val="00CB78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9B6CEE4254034E8DD9D5E94621F18A" ma:contentTypeVersion="12" ma:contentTypeDescription="Create a new document." ma:contentTypeScope="" ma:versionID="c2e65323f512c6a515c18d2b8b1fb794">
  <xsd:schema xmlns:xsd="http://www.w3.org/2001/XMLSchema" xmlns:xs="http://www.w3.org/2001/XMLSchema" xmlns:p="http://schemas.microsoft.com/office/2006/metadata/properties" xmlns:ns2="8438084b-e005-4a8b-ad58-f27396e5ccc5" xmlns:ns3="4450dfb5-0075-48d7-b1c5-f913c101e4f1" targetNamespace="http://schemas.microsoft.com/office/2006/metadata/properties" ma:root="true" ma:fieldsID="283d073cf7a9a7835afaaaaad2618a57" ns2:_="" ns3:_="">
    <xsd:import namespace="8438084b-e005-4a8b-ad58-f27396e5ccc5"/>
    <xsd:import namespace="4450dfb5-0075-48d7-b1c5-f913c101e4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8084b-e005-4a8b-ad58-f27396e5c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fa2b7e-921a-4024-8077-4c46288a4e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50dfb5-0075-48d7-b1c5-f913c101e4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9f081-b9e5-4a23-8f8b-aee9ab090940}" ma:internalName="TaxCatchAll" ma:showField="CatchAllData" ma:web="4450dfb5-0075-48d7-b1c5-f913c101e4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450dfb5-0075-48d7-b1c5-f913c101e4f1" xsi:nil="true"/>
    <lcf76f155ced4ddcb4097134ff3c332f xmlns="8438084b-e005-4a8b-ad58-f27396e5cc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E00F42C-BCEC-4FC0-A2E3-522D5159F3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8084b-e005-4a8b-ad58-f27396e5ccc5"/>
    <ds:schemaRef ds:uri="4450dfb5-0075-48d7-b1c5-f913c101e4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2874A2-A8C5-4069-883F-CEE5047DD2D4}">
  <ds:schemaRefs>
    <ds:schemaRef ds:uri="http://schemas.microsoft.com/sharepoint/v3/contenttype/forms"/>
  </ds:schemaRefs>
</ds:datastoreItem>
</file>

<file path=customXml/itemProps3.xml><?xml version="1.0" encoding="utf-8"?>
<ds:datastoreItem xmlns:ds="http://schemas.openxmlformats.org/officeDocument/2006/customXml" ds:itemID="{C7C23261-2075-4437-B844-44D161A40E5D}">
  <ds:schemaRefs>
    <ds:schemaRef ds:uri="http://schemas.microsoft.com/office/2006/metadata/properties"/>
    <ds:schemaRef ds:uri="http://schemas.microsoft.com/office/infopath/2007/PartnerControls"/>
    <ds:schemaRef ds:uri="4450dfb5-0075-48d7-b1c5-f913c101e4f1"/>
    <ds:schemaRef ds:uri="8438084b-e005-4a8b-ad58-f27396e5ccc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433</Words>
  <Characters>2474</Characters>
  <Application>Microsoft Office Word</Application>
  <DocSecurity>0</DocSecurity>
  <Lines>20</Lines>
  <Paragraphs>5</Paragraphs>
  <ScaleCrop>false</ScaleCrop>
  <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Tertia Turner</dc:creator>
  <cp:keywords/>
  <dc:description/>
  <cp:lastModifiedBy>Mario Di Clemente</cp:lastModifiedBy>
  <cp:revision>4</cp:revision>
  <dcterms:created xsi:type="dcterms:W3CDTF">2025-08-08T10:24:00Z</dcterms:created>
  <dcterms:modified xsi:type="dcterms:W3CDTF">2026-09-09T10:40:00Z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0x0101001C9B6CEE4254034E8DD9D5E94621F18A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