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6E06" w14:textId="77777777" w:rsidR="00587904" w:rsidRDefault="00924546">
      <w:pPr>
        <w:pStyle w:val="Heading1"/>
        <w:spacing w:before="100" w:after="200"/>
        <w:jc w:val="center"/>
      </w:pPr>
      <w:r>
        <w:rPr>
          <w:rFonts w:ascii="Aptos" w:eastAsia="Aptos" w:hAnsi="Aptos"/>
          <w:color w:val="6F1E6C"/>
          <w:sz w:val="34"/>
        </w:rPr>
        <w:t>Admissions Policy and Procedures</w:t>
      </w:r>
    </w:p>
    <w:p w14:paraId="17A7B6EC" w14:textId="77777777" w:rsidR="00587904" w:rsidRDefault="00587904">
      <w:pPr>
        <w:spacing w:after="40"/>
      </w:pPr>
    </w:p>
    <w:p w14:paraId="18212DF0" w14:textId="77777777" w:rsidR="00587904" w:rsidRDefault="00924546">
      <w:pPr>
        <w:pStyle w:val="Heading2"/>
        <w:spacing w:before="140" w:after="60"/>
      </w:pPr>
      <w:r>
        <w:rPr>
          <w:rFonts w:ascii="Aptos" w:eastAsia="Aptos" w:hAnsi="Aptos"/>
          <w:color w:val="92278F"/>
          <w:sz w:val="23"/>
        </w:rPr>
        <w:t>1. Purpose</w:t>
      </w:r>
    </w:p>
    <w:p w14:paraId="4BEC1E7D" w14:textId="77777777" w:rsidR="00587904" w:rsidRDefault="00924546">
      <w:pPr>
        <w:keepLines/>
        <w:spacing w:after="70"/>
      </w:pPr>
      <w:r>
        <w:t>This policy explains how referrals to The Tutorial Foundation Day School are considered as an independent specialist setting. Admissions decisions are made fairly, transparently and in line with the school’s registration, equality duties, SEND responsibilities, available capacity and ability to meet need safely.</w:t>
      </w:r>
    </w:p>
    <w:p w14:paraId="3C5A7422" w14:textId="77777777" w:rsidR="00587904" w:rsidRDefault="00924546">
      <w:pPr>
        <w:pStyle w:val="Heading2"/>
        <w:spacing w:before="140" w:after="60"/>
      </w:pPr>
      <w:r>
        <w:rPr>
          <w:rFonts w:ascii="Aptos" w:eastAsia="Aptos" w:hAnsi="Aptos"/>
          <w:color w:val="92278F"/>
          <w:sz w:val="23"/>
        </w:rPr>
        <w:t>2. Legal and Regulatory Context</w:t>
      </w:r>
    </w:p>
    <w:p w14:paraId="75260434" w14:textId="77777777" w:rsidR="00587904" w:rsidRDefault="00924546">
      <w:pPr>
        <w:keepLines/>
        <w:spacing w:after="70"/>
        <w:ind w:left="259" w:hanging="173"/>
      </w:pPr>
      <w:r>
        <w:t>• Education (Independent School Standards) Regulations 2014</w:t>
      </w:r>
    </w:p>
    <w:p w14:paraId="4E7C4683" w14:textId="77777777" w:rsidR="00587904" w:rsidRDefault="00924546">
      <w:pPr>
        <w:keepLines/>
        <w:spacing w:after="70"/>
        <w:ind w:left="259" w:hanging="173"/>
      </w:pPr>
      <w:r>
        <w:t>• Equality Act 2010</w:t>
      </w:r>
    </w:p>
    <w:p w14:paraId="10A9E0BE" w14:textId="77777777" w:rsidR="00587904" w:rsidRDefault="00924546">
      <w:pPr>
        <w:keepLines/>
        <w:spacing w:after="70"/>
        <w:ind w:left="259" w:hanging="173"/>
      </w:pPr>
      <w:r>
        <w:t xml:space="preserve">• </w:t>
      </w:r>
      <w:r>
        <w:t>Children and Families Act 2014 and SEND Code of Practice: 0 to 25 years</w:t>
      </w:r>
    </w:p>
    <w:p w14:paraId="601F81A2" w14:textId="77777777" w:rsidR="00587904" w:rsidRDefault="00924546">
      <w:pPr>
        <w:keepLines/>
        <w:spacing w:after="70"/>
        <w:ind w:left="259" w:hanging="173"/>
      </w:pPr>
      <w:r>
        <w:t>• The school’s current registration with the Department for Education</w:t>
      </w:r>
    </w:p>
    <w:p w14:paraId="33BD0EED" w14:textId="77777777" w:rsidR="00587904" w:rsidRDefault="00924546">
      <w:pPr>
        <w:pStyle w:val="Heading2"/>
        <w:spacing w:before="140" w:after="60"/>
      </w:pPr>
      <w:r>
        <w:rPr>
          <w:rFonts w:ascii="Aptos" w:eastAsia="Aptos" w:hAnsi="Aptos"/>
          <w:color w:val="92278F"/>
          <w:sz w:val="23"/>
        </w:rPr>
        <w:t>3. Registered Provision</w:t>
      </w:r>
    </w:p>
    <w:p w14:paraId="76F2633A" w14:textId="77777777" w:rsidR="00587904" w:rsidRDefault="00924546">
      <w:pPr>
        <w:keepLines/>
        <w:spacing w:after="70"/>
      </w:pPr>
      <w:r>
        <w:t>The school’s registered maximum is 45 pupils, aged 11 to 25. Admission is subject to the school being able to meet need safely, available capacity and confirmed funding.</w:t>
      </w:r>
    </w:p>
    <w:p w14:paraId="4BD58CB3" w14:textId="77777777" w:rsidR="00587904" w:rsidRDefault="00924546">
      <w:pPr>
        <w:pStyle w:val="Heading2"/>
        <w:keepNext w:val="0"/>
        <w:spacing w:before="20" w:after="40"/>
      </w:pPr>
      <w:r>
        <w:rPr>
          <w:rFonts w:ascii="Aptos" w:eastAsia="Aptos" w:hAnsi="Aptos"/>
          <w:b w:val="0"/>
          <w:color w:val="333333"/>
          <w:sz w:val="20"/>
        </w:rPr>
        <w:t>4. Referrals</w:t>
      </w:r>
    </w:p>
    <w:p w14:paraId="5A8386C4" w14:textId="77777777" w:rsidR="00587904" w:rsidRDefault="00924546">
      <w:pPr>
        <w:keepLines/>
        <w:spacing w:after="70"/>
      </w:pPr>
      <w:r>
        <w:t>Referrals may be made by parents/carers, local authorities, schools, social workers or other professionals. An EHCP is not an absolute requirement where a lawful funding arrangement is otherwise in place.</w:t>
      </w:r>
    </w:p>
    <w:p w14:paraId="02D601F2" w14:textId="77777777" w:rsidR="00587904" w:rsidRDefault="00924546">
      <w:pPr>
        <w:pStyle w:val="Heading2"/>
        <w:keepNext w:val="0"/>
        <w:spacing w:before="20" w:after="40"/>
      </w:pPr>
      <w:r>
        <w:rPr>
          <w:rFonts w:ascii="Aptos" w:eastAsia="Aptos" w:hAnsi="Aptos"/>
          <w:b w:val="0"/>
          <w:color w:val="333333"/>
          <w:sz w:val="20"/>
        </w:rPr>
        <w:t>5. Admissions Process</w:t>
      </w:r>
    </w:p>
    <w:p w14:paraId="6715543D" w14:textId="77777777" w:rsidR="00587904" w:rsidRDefault="00924546">
      <w:pPr>
        <w:keepLines/>
        <w:spacing w:before="20" w:after="40"/>
        <w:ind w:left="369" w:hanging="255"/>
      </w:pPr>
      <w:r>
        <w:t>1. Referral received through SEN@thetutorialfoundation.co.uk.</w:t>
      </w:r>
    </w:p>
    <w:p w14:paraId="384D9243" w14:textId="77777777" w:rsidR="00587904" w:rsidRDefault="00924546">
      <w:pPr>
        <w:keepLines/>
        <w:spacing w:before="20" w:after="40"/>
        <w:ind w:left="369" w:hanging="255"/>
      </w:pPr>
      <w:r>
        <w:t>2. Admissions information and available professional documents are reviewed initially by Josie Furness.</w:t>
      </w:r>
    </w:p>
    <w:p w14:paraId="12F0E69D" w14:textId="77777777" w:rsidR="00587904" w:rsidRDefault="00924546">
      <w:pPr>
        <w:keepLines/>
        <w:spacing w:before="20" w:after="40"/>
        <w:ind w:left="369" w:hanging="255"/>
      </w:pPr>
      <w:r>
        <w:t xml:space="preserve">3. </w:t>
      </w:r>
      <w:r>
        <w:t>The prospective pupil and family are invited to visit and meet the school. Further information may be requested where necessary.</w:t>
      </w:r>
    </w:p>
    <w:p w14:paraId="3ECBD972" w14:textId="77777777" w:rsidR="00587904" w:rsidRDefault="00924546">
      <w:pPr>
        <w:keepLines/>
        <w:spacing w:before="20" w:after="40"/>
        <w:ind w:left="369" w:hanging="255"/>
      </w:pPr>
      <w:r>
        <w:t>4. Where appropriate, a six-week trial placement is arranged. The purpose, funding and practical arrangements are confirmed in advance.</w:t>
      </w:r>
    </w:p>
    <w:p w14:paraId="2D61BE09" w14:textId="77777777" w:rsidR="00587904" w:rsidRDefault="00924546">
      <w:pPr>
        <w:keepLines/>
        <w:spacing w:before="20" w:after="40"/>
        <w:ind w:left="369" w:hanging="255"/>
      </w:pPr>
      <w:r>
        <w:t>5. SLT reviews the trial, including engagement, safety, curriculum access, peer compatibility and whether the school can meet identified needs.</w:t>
      </w:r>
    </w:p>
    <w:p w14:paraId="19C42E06" w14:textId="77777777" w:rsidR="00587904" w:rsidRDefault="00924546">
      <w:pPr>
        <w:keepLines/>
        <w:spacing w:before="20" w:after="40"/>
        <w:ind w:left="369" w:hanging="255"/>
      </w:pPr>
      <w:r>
        <w:t xml:space="preserve">6. </w:t>
      </w:r>
      <w:r>
        <w:t>If the school cannot offer or continue a placement, the parent/carer and referrer are informed in writing.</w:t>
      </w:r>
    </w:p>
    <w:p w14:paraId="16264BFD" w14:textId="77777777" w:rsidR="00587904" w:rsidRDefault="00924546">
      <w:pPr>
        <w:keepLines/>
        <w:spacing w:before="20" w:after="40"/>
        <w:ind w:left="369" w:hanging="255"/>
      </w:pPr>
      <w:r>
        <w:t>7. A full placement begins only when funding and placement arrangements have been formally agreed.</w:t>
      </w:r>
    </w:p>
    <w:p w14:paraId="563DD80A" w14:textId="77777777" w:rsidR="00587904" w:rsidRDefault="00924546">
      <w:pPr>
        <w:pStyle w:val="Heading2"/>
        <w:spacing w:before="140" w:after="60"/>
      </w:pPr>
      <w:r>
        <w:rPr>
          <w:rFonts w:ascii="Aptos" w:eastAsia="Aptos" w:hAnsi="Aptos"/>
          <w:color w:val="92278F"/>
          <w:sz w:val="23"/>
        </w:rPr>
        <w:t>6. Deciding Whether the School Can Meet Need</w:t>
      </w:r>
    </w:p>
    <w:p w14:paraId="1D95DB24" w14:textId="77777777" w:rsidR="00587904" w:rsidRDefault="00924546">
      <w:pPr>
        <w:keepLines/>
        <w:spacing w:after="70"/>
      </w:pPr>
      <w:r>
        <w:t>Each case is considered individually. The school may decide it cannot meet need where the provision required is outside its registration or expertise, available staffing or facilities cannot provide safe and suitable education, there is no suitable space within the current cohort, or risks cannot be managed reasonably. Unsafe or persistent absconding risk may be a factor where the school cannot put safe controls in place.</w:t>
      </w:r>
    </w:p>
    <w:p w14:paraId="1904AFF3" w14:textId="77777777" w:rsidR="00587904" w:rsidRDefault="00924546">
      <w:pPr>
        <w:pStyle w:val="Heading2"/>
        <w:spacing w:before="140" w:after="60"/>
      </w:pPr>
      <w:r>
        <w:rPr>
          <w:rFonts w:ascii="Aptos" w:eastAsia="Aptos" w:hAnsi="Aptos"/>
          <w:color w:val="92278F"/>
          <w:sz w:val="23"/>
        </w:rPr>
        <w:t>7. Equality and SEND</w:t>
      </w:r>
    </w:p>
    <w:p w14:paraId="63DEB5C5" w14:textId="77777777" w:rsidR="00587904" w:rsidRDefault="00924546">
      <w:pPr>
        <w:keepLines/>
        <w:spacing w:after="70"/>
      </w:pPr>
      <w:r>
        <w:t>No pupil will be refused because of a protected characteristic. The school considers reasonable adjustments before deciding that a need cannot be met. For pupils with EHCPs, the school works with the relevant local authority and family through consultation and placement processes.</w:t>
      </w:r>
    </w:p>
    <w:p w14:paraId="71F0451E" w14:textId="77777777" w:rsidR="00587904" w:rsidRDefault="00924546">
      <w:pPr>
        <w:pStyle w:val="Heading2"/>
        <w:spacing w:before="140" w:after="60"/>
      </w:pPr>
      <w:r>
        <w:rPr>
          <w:rFonts w:ascii="Aptos" w:eastAsia="Aptos" w:hAnsi="Aptos"/>
          <w:color w:val="92278F"/>
          <w:sz w:val="23"/>
        </w:rPr>
        <w:t>8. Waiting List and Capacity</w:t>
      </w:r>
    </w:p>
    <w:p w14:paraId="29988816" w14:textId="77777777" w:rsidR="00587904" w:rsidRDefault="00924546">
      <w:pPr>
        <w:keepLines/>
        <w:spacing w:after="70"/>
      </w:pPr>
      <w:r>
        <w:t>Where the school is full, suitable applicants may be placed on a waiting list. The school does not operate statutory oversubscription criteria; places are considered against suitability, capacity, need and funding.</w:t>
      </w:r>
    </w:p>
    <w:p w14:paraId="5BA974F4" w14:textId="77777777" w:rsidR="00587904" w:rsidRDefault="00924546">
      <w:pPr>
        <w:pStyle w:val="Heading2"/>
        <w:spacing w:before="140" w:after="60"/>
      </w:pPr>
      <w:r>
        <w:rPr>
          <w:rFonts w:ascii="Aptos" w:eastAsia="Aptos" w:hAnsi="Aptos"/>
          <w:color w:val="92278F"/>
          <w:sz w:val="23"/>
        </w:rPr>
        <w:t>9. Review of Decisions</w:t>
      </w:r>
    </w:p>
    <w:p w14:paraId="0EF8A0FE" w14:textId="77777777" w:rsidR="00587904" w:rsidRDefault="00924546">
      <w:pPr>
        <w:keepLines/>
        <w:spacing w:after="70"/>
      </w:pPr>
      <w:r>
        <w:t>As an independent school, there is no statutory school admissions appeal panel. Families may ask the Headteacher to review the information considered and may use the Complaints Policy if they believe the school has not followed its published process. This does not create a right to a place.</w:t>
      </w:r>
    </w:p>
    <w:p w14:paraId="7344D669" w14:textId="77777777" w:rsidR="00587904" w:rsidRDefault="00587904">
      <w:pPr>
        <w:spacing w:before="120"/>
      </w:pPr>
    </w:p>
    <w:tbl>
      <w:tblPr>
        <w:tblStyle w:val="TableGrid"/>
        <w:tblW w:w="0" w:type="auto"/>
        <w:jc w:val="center"/>
        <w:tblLook w:val="04A0" w:firstRow="1" w:lastRow="0" w:firstColumn="1" w:lastColumn="0" w:noHBand="0" w:noVBand="1"/>
      </w:tblPr>
      <w:tblGrid>
        <w:gridCol w:w="2689"/>
        <w:gridCol w:w="4961"/>
        <w:gridCol w:w="1366"/>
      </w:tblGrid>
      <w:tr w:rsidR="00283B27" w:rsidRPr="00283B27" w14:paraId="1D33548F" w14:textId="77777777" w:rsidTr="00EE2FEB">
        <w:trPr>
          <w:cantSplit/>
          <w:tblHeader/>
          <w:jc w:val="center"/>
        </w:trPr>
        <w:tc>
          <w:tcPr>
            <w:tcW w:w="2689"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32E26571" w14:textId="77777777" w:rsidR="00587904" w:rsidRDefault="00587904">
            <w:pPr>
              <w:keepNext/>
              <w:keepLines/>
              <w:spacing w:after="0"/>
            </w:pPr>
          </w:p>
        </w:tc>
        <w:tc>
          <w:tcPr>
            <w:tcW w:w="4961"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tcPr>
          <w:p w14:paraId="325A7E16" w14:textId="77777777" w:rsidR="00587904" w:rsidRDefault="00924546">
            <w:pPr>
              <w:keepNext/>
              <w:keepLines/>
              <w:spacing w:after="0"/>
            </w:pPr>
            <w:r>
              <w:rPr>
                <w:b/>
                <w:color w:val="FFFFFF"/>
                <w:sz w:val="19"/>
              </w:rPr>
              <w:t>By whom</w:t>
            </w:r>
          </w:p>
        </w:tc>
        <w:tc>
          <w:tcPr>
            <w:tcW w:w="1366" w:type="dxa"/>
            <w:tcBorders>
              <w:top w:val="single" w:sz="4" w:space="0" w:color="auto"/>
              <w:left w:val="single" w:sz="4" w:space="0" w:color="auto"/>
              <w:bottom w:val="single" w:sz="4" w:space="0" w:color="auto"/>
              <w:right w:val="single" w:sz="4" w:space="0" w:color="auto"/>
            </w:tcBorders>
            <w:shd w:val="clear" w:color="auto" w:fill="92278F"/>
            <w:tcMar>
              <w:top w:w="80" w:type="dxa"/>
              <w:left w:w="90" w:type="dxa"/>
              <w:bottom w:w="80" w:type="dxa"/>
              <w:right w:w="90" w:type="dxa"/>
            </w:tcMar>
            <w:vAlign w:val="center"/>
            <w:hideMark/>
          </w:tcPr>
          <w:p w14:paraId="54A3EA42" w14:textId="77777777" w:rsidR="00587904" w:rsidRDefault="00924546">
            <w:pPr>
              <w:keepNext/>
              <w:keepLines/>
              <w:spacing w:after="0"/>
            </w:pPr>
            <w:r>
              <w:rPr>
                <w:b/>
                <w:color w:val="FFFFFF"/>
                <w:sz w:val="19"/>
              </w:rPr>
              <w:t>Date</w:t>
            </w:r>
          </w:p>
        </w:tc>
      </w:tr>
      <w:tr w:rsidR="00283B27" w:rsidRPr="00283B27" w14:paraId="3F11DF17"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2F5EBEC5" w14:textId="77777777" w:rsidR="00587904" w:rsidRDefault="00924546">
            <w:pPr>
              <w:keepNext/>
              <w:keepLines/>
              <w:spacing w:after="0"/>
            </w:pPr>
            <w:r>
              <w:rPr>
                <w:b/>
                <w:color w:val="6F1E6C"/>
                <w:sz w:val="19"/>
              </w:rPr>
              <w:t>Policy signed off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60C94868" w14:textId="77777777" w:rsidR="00587904" w:rsidRDefault="00924546">
            <w:pPr>
              <w:keepNext/>
              <w:keepLines/>
              <w:spacing w:after="0"/>
            </w:pPr>
            <w:r>
              <w:rPr>
                <w:sz w:val="19"/>
              </w:rPr>
              <w:t>Mario Di Clemente</w:t>
            </w: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24EBAA81" w14:textId="77777777" w:rsidR="00587904" w:rsidRDefault="00924546">
            <w:pPr>
              <w:keepNext/>
              <w:keepLines/>
              <w:spacing w:after="0"/>
            </w:pPr>
            <w:r>
              <w:rPr>
                <w:sz w:val="19"/>
              </w:rPr>
              <w:t>September 2026</w:t>
            </w:r>
          </w:p>
        </w:tc>
      </w:tr>
      <w:tr w:rsidR="00283B27" w:rsidRPr="00283B27" w14:paraId="4086C936"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7FF8DFD7" w14:textId="77777777" w:rsidR="00587904" w:rsidRDefault="00924546">
            <w:pPr>
              <w:keepNext/>
              <w:keepLines/>
              <w:spacing w:after="0"/>
            </w:pPr>
            <w:r>
              <w:rPr>
                <w:b/>
                <w:color w:val="6F1E6C"/>
                <w:sz w:val="19"/>
              </w:rPr>
              <w:t>Reviewed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09B0382A" w14:textId="77777777" w:rsidR="00587904" w:rsidRDefault="00587904">
            <w:pPr>
              <w:keepNext/>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48675CE1" w14:textId="77777777" w:rsidR="00587904" w:rsidRDefault="00587904">
            <w:pPr>
              <w:keepNext/>
              <w:keepLines/>
              <w:spacing w:after="0"/>
            </w:pPr>
          </w:p>
        </w:tc>
      </w:tr>
      <w:tr w:rsidR="00283B27" w:rsidRPr="00283B27" w14:paraId="6547DADA" w14:textId="77777777" w:rsidTr="00EE2FEB">
        <w:trPr>
          <w:cantSplit/>
          <w:jc w:val="center"/>
        </w:trPr>
        <w:tc>
          <w:tcPr>
            <w:tcW w:w="2689" w:type="dxa"/>
            <w:tcBorders>
              <w:top w:val="single" w:sz="4" w:space="0" w:color="auto"/>
              <w:left w:val="single" w:sz="4" w:space="0" w:color="auto"/>
              <w:bottom w:val="single" w:sz="4" w:space="0" w:color="auto"/>
              <w:right w:val="single" w:sz="4" w:space="0" w:color="auto"/>
            </w:tcBorders>
            <w:shd w:val="clear" w:color="auto" w:fill="F2E5F2"/>
            <w:tcMar>
              <w:top w:w="80" w:type="dxa"/>
              <w:left w:w="90" w:type="dxa"/>
              <w:bottom w:w="80" w:type="dxa"/>
              <w:right w:w="90" w:type="dxa"/>
            </w:tcMar>
            <w:vAlign w:val="center"/>
            <w:hideMark/>
          </w:tcPr>
          <w:p w14:paraId="4062F15D" w14:textId="77777777" w:rsidR="00587904" w:rsidRDefault="00924546">
            <w:pPr>
              <w:keepLines/>
              <w:spacing w:after="0"/>
            </w:pPr>
            <w:r>
              <w:rPr>
                <w:b/>
                <w:color w:val="6F1E6C"/>
                <w:sz w:val="19"/>
              </w:rPr>
              <w:t>Next Review By</w:t>
            </w:r>
          </w:p>
        </w:tc>
        <w:tc>
          <w:tcPr>
            <w:tcW w:w="4961"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tcPr>
          <w:p w14:paraId="2ED25D85" w14:textId="77777777" w:rsidR="00587904" w:rsidRDefault="00587904">
            <w:pPr>
              <w:keepLines/>
              <w:spacing w:after="0"/>
            </w:pPr>
          </w:p>
        </w:tc>
        <w:tc>
          <w:tcPr>
            <w:tcW w:w="1366" w:type="dxa"/>
            <w:tcBorders>
              <w:top w:val="single" w:sz="4" w:space="0" w:color="auto"/>
              <w:left w:val="single" w:sz="4" w:space="0" w:color="auto"/>
              <w:bottom w:val="single" w:sz="4" w:space="0" w:color="auto"/>
              <w:right w:val="single" w:sz="4" w:space="0" w:color="auto"/>
            </w:tcBorders>
            <w:tcMar>
              <w:top w:w="80" w:type="dxa"/>
              <w:left w:w="90" w:type="dxa"/>
              <w:bottom w:w="80" w:type="dxa"/>
              <w:right w:w="90" w:type="dxa"/>
            </w:tcMar>
            <w:vAlign w:val="center"/>
            <w:hideMark/>
          </w:tcPr>
          <w:p w14:paraId="575A7DE6" w14:textId="77777777" w:rsidR="00587904" w:rsidRDefault="00924546">
            <w:pPr>
              <w:keepLines/>
              <w:spacing w:after="0"/>
            </w:pPr>
            <w:r>
              <w:rPr>
                <w:sz w:val="19"/>
              </w:rPr>
              <w:t>September 2027</w:t>
            </w:r>
          </w:p>
        </w:tc>
      </w:tr>
    </w:tbl>
    <w:p w14:paraId="3E923EDD" w14:textId="77777777" w:rsidR="00924546" w:rsidRDefault="00924546"/>
    <w:sectPr w:rsidR="00924546">
      <w:headerReference w:type="default" r:id="rId10"/>
      <w:footerReference w:type="default" r:id="rId11"/>
      <w:pgSz w:w="11906" w:h="16838"/>
      <w:pgMar w:top="1037" w:right="1037" w:bottom="1037" w:left="1037" w:header="259" w:footer="36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5EF369" w14:textId="77777777" w:rsidR="00924546" w:rsidRDefault="00924546" w:rsidP="00F15C03">
      <w:pPr>
        <w:spacing w:after="0" w:line="240" w:lineRule="auto"/>
      </w:pPr>
      <w:r>
        <w:separator/>
      </w:r>
    </w:p>
  </w:endnote>
  <w:endnote w:type="continuationSeparator" w:id="0">
    <w:p w14:paraId="0DB45E1F" w14:textId="77777777" w:rsidR="00924546" w:rsidRDefault="00924546" w:rsidP="00F15C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5CDA6E" w14:textId="77777777" w:rsidR="00587904" w:rsidRDefault="00587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B092CE" w14:textId="77777777" w:rsidR="00924546" w:rsidRDefault="00924546" w:rsidP="00F15C03">
      <w:pPr>
        <w:spacing w:after="0" w:line="240" w:lineRule="auto"/>
      </w:pPr>
      <w:r>
        <w:separator/>
      </w:r>
    </w:p>
  </w:footnote>
  <w:footnote w:type="continuationSeparator" w:id="0">
    <w:p w14:paraId="3FE7B6F8" w14:textId="77777777" w:rsidR="00924546" w:rsidRDefault="00924546" w:rsidP="00F15C0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5C422" w14:textId="7051BA2C" w:rsidR="00F15C03" w:rsidRDefault="00F15C03">
    <w:pPr>
      <w:pStyle w:val="Header"/>
      <w:pBdr>
        <w:bottom w:val="single" w:sz="10" w:space="3" w:color="92278F"/>
      </w:pBdr>
      <w:spacing w:after="40"/>
    </w:pPr>
    <w:r>
      <w:rPr>
        <w:noProof/>
      </w:rPr>
      <w:drawing>
        <wp:inline distT="0" distB="0" distL="0" distR="0" wp14:anchorId="2AA09D6A" wp14:editId="6EC3B0AA">
          <wp:extent cx="2148840" cy="648524"/>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png"/>
                  <pic:cNvPicPr/>
                </pic:nvPicPr>
                <pic:blipFill>
                  <a:blip r:embed="rId1"/>
                  <a:stretch>
                    <a:fillRect/>
                  </a:stretch>
                </pic:blipFill>
                <pic:spPr>
                  <a:xfrm>
                    <a:off x="0" y="0"/>
                    <a:ext cx="2148840" cy="64852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577D0"/>
    <w:multiLevelType w:val="multilevel"/>
    <w:tmpl w:val="73668B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C425E7"/>
    <w:multiLevelType w:val="multilevel"/>
    <w:tmpl w:val="9C68A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74169F6"/>
    <w:multiLevelType w:val="multilevel"/>
    <w:tmpl w:val="C248F7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BF7B1B"/>
    <w:multiLevelType w:val="multilevel"/>
    <w:tmpl w:val="FE78E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EB14874"/>
    <w:multiLevelType w:val="multilevel"/>
    <w:tmpl w:val="9D62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1C553EA"/>
    <w:multiLevelType w:val="multilevel"/>
    <w:tmpl w:val="11869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8B5540E"/>
    <w:multiLevelType w:val="multilevel"/>
    <w:tmpl w:val="D43C7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0CC2F7E"/>
    <w:multiLevelType w:val="multilevel"/>
    <w:tmpl w:val="6AACE4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5D73DFD"/>
    <w:multiLevelType w:val="multilevel"/>
    <w:tmpl w:val="886AC7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F247C64"/>
    <w:multiLevelType w:val="multilevel"/>
    <w:tmpl w:val="A4E46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1C270B1"/>
    <w:multiLevelType w:val="multilevel"/>
    <w:tmpl w:val="F0D481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615539A"/>
    <w:multiLevelType w:val="multilevel"/>
    <w:tmpl w:val="02E6A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6380EB0"/>
    <w:multiLevelType w:val="multilevel"/>
    <w:tmpl w:val="6E9CF4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7B213D2"/>
    <w:multiLevelType w:val="multilevel"/>
    <w:tmpl w:val="487ADF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58A02925"/>
    <w:multiLevelType w:val="multilevel"/>
    <w:tmpl w:val="30164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826596F"/>
    <w:multiLevelType w:val="multilevel"/>
    <w:tmpl w:val="64DCA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85585732">
    <w:abstractNumId w:val="11"/>
  </w:num>
  <w:num w:numId="2" w16cid:durableId="1556239095">
    <w:abstractNumId w:val="2"/>
  </w:num>
  <w:num w:numId="3" w16cid:durableId="514227079">
    <w:abstractNumId w:val="3"/>
  </w:num>
  <w:num w:numId="4" w16cid:durableId="499273793">
    <w:abstractNumId w:val="7"/>
  </w:num>
  <w:num w:numId="5" w16cid:durableId="775833839">
    <w:abstractNumId w:val="0"/>
  </w:num>
  <w:num w:numId="6" w16cid:durableId="1689795792">
    <w:abstractNumId w:val="9"/>
  </w:num>
  <w:num w:numId="7" w16cid:durableId="1508060504">
    <w:abstractNumId w:val="8"/>
  </w:num>
  <w:num w:numId="8" w16cid:durableId="894467741">
    <w:abstractNumId w:val="10"/>
  </w:num>
  <w:num w:numId="9" w16cid:durableId="905455717">
    <w:abstractNumId w:val="4"/>
  </w:num>
  <w:num w:numId="10" w16cid:durableId="349071510">
    <w:abstractNumId w:val="15"/>
  </w:num>
  <w:num w:numId="11" w16cid:durableId="394664922">
    <w:abstractNumId w:val="1"/>
  </w:num>
  <w:num w:numId="12" w16cid:durableId="1824737149">
    <w:abstractNumId w:val="6"/>
  </w:num>
  <w:num w:numId="13" w16cid:durableId="415254040">
    <w:abstractNumId w:val="12"/>
  </w:num>
  <w:num w:numId="14" w16cid:durableId="374041759">
    <w:abstractNumId w:val="14"/>
  </w:num>
  <w:num w:numId="15" w16cid:durableId="1383361443">
    <w:abstractNumId w:val="13"/>
  </w:num>
  <w:num w:numId="16" w16cid:durableId="199984139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C03"/>
    <w:rsid w:val="00234045"/>
    <w:rsid w:val="00234327"/>
    <w:rsid w:val="00346B52"/>
    <w:rsid w:val="0046582B"/>
    <w:rsid w:val="00587904"/>
    <w:rsid w:val="005B1D34"/>
    <w:rsid w:val="007E5496"/>
    <w:rsid w:val="00924546"/>
    <w:rsid w:val="00B1663C"/>
    <w:rsid w:val="00BE45D1"/>
    <w:rsid w:val="00DB41E6"/>
    <w:rsid w:val="00F15C0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1431E"/>
  <w15:chartTrackingRefBased/>
  <w15:docId w15:val="{EE755A2A-7131-46A1-93B3-84F0EF8B7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80" w:line="250" w:lineRule="auto"/>
    </w:pPr>
    <w:rPr>
      <w:rFonts w:ascii="Aptos" w:eastAsia="Aptos" w:hAnsi="Aptos"/>
      <w:color w:val="333333"/>
      <w:sz w:val="20"/>
    </w:rPr>
  </w:style>
  <w:style w:type="paragraph" w:styleId="Heading1">
    <w:name w:val="heading 1"/>
    <w:basedOn w:val="Normal"/>
    <w:next w:val="Normal"/>
    <w:link w:val="Heading1Char"/>
    <w:uiPriority w:val="9"/>
    <w:qFormat/>
    <w:rsid w:val="00F15C03"/>
    <w:pPr>
      <w:keepNext/>
      <w:keepLines/>
      <w:spacing w:before="360"/>
      <w:outlineLvl w:val="0"/>
    </w:pPr>
    <w:rPr>
      <w:rFonts w:asciiTheme="majorHAnsi" w:eastAsiaTheme="majorEastAsia" w:hAnsiTheme="majorHAnsi" w:cstheme="majorBidi"/>
      <w:b/>
      <w:color w:val="000000"/>
      <w:sz w:val="22"/>
      <w:szCs w:val="40"/>
    </w:rPr>
  </w:style>
  <w:style w:type="paragraph" w:styleId="Heading2">
    <w:name w:val="heading 2"/>
    <w:basedOn w:val="Normal"/>
    <w:next w:val="Normal"/>
    <w:link w:val="Heading2Char"/>
    <w:uiPriority w:val="9"/>
    <w:semiHidden/>
    <w:unhideWhenUsed/>
    <w:qFormat/>
    <w:rsid w:val="00F15C03"/>
    <w:pPr>
      <w:keepNext/>
      <w:keepLines/>
      <w:spacing w:before="160"/>
      <w:outlineLvl w:val="1"/>
    </w:pPr>
    <w:rPr>
      <w:rFonts w:asciiTheme="majorHAnsi" w:eastAsiaTheme="majorEastAsia" w:hAnsiTheme="majorHAnsi" w:cstheme="majorBidi"/>
      <w:b/>
      <w:color w:val="000000"/>
      <w:sz w:val="22"/>
      <w:szCs w:val="32"/>
    </w:rPr>
  </w:style>
  <w:style w:type="paragraph" w:styleId="Heading3">
    <w:name w:val="heading 3"/>
    <w:basedOn w:val="Normal"/>
    <w:next w:val="Normal"/>
    <w:link w:val="Heading3Char"/>
    <w:uiPriority w:val="9"/>
    <w:semiHidden/>
    <w:unhideWhenUsed/>
    <w:qFormat/>
    <w:rsid w:val="00F15C03"/>
    <w:pPr>
      <w:keepNext/>
      <w:keepLines/>
      <w:spacing w:before="160"/>
      <w:outlineLvl w:val="2"/>
    </w:pPr>
    <w:rPr>
      <w:rFonts w:ascii="Arial" w:eastAsiaTheme="majorEastAsia" w:hAnsi="Arial" w:cstheme="majorBidi"/>
      <w:b/>
      <w:color w:val="000000"/>
      <w:sz w:val="22"/>
      <w:szCs w:val="28"/>
    </w:rPr>
  </w:style>
  <w:style w:type="paragraph" w:styleId="Heading4">
    <w:name w:val="heading 4"/>
    <w:basedOn w:val="Normal"/>
    <w:next w:val="Normal"/>
    <w:link w:val="Heading4Char"/>
    <w:uiPriority w:val="9"/>
    <w:semiHidden/>
    <w:unhideWhenUsed/>
    <w:qFormat/>
    <w:rsid w:val="00F15C03"/>
    <w:pPr>
      <w:keepNext/>
      <w:keepLines/>
      <w:spacing w:before="80" w:after="40"/>
      <w:outlineLvl w:val="3"/>
    </w:pPr>
    <w:rPr>
      <w:rFonts w:ascii="Arial" w:eastAsiaTheme="majorEastAsia" w:hAnsi="Arial" w:cstheme="majorBidi"/>
      <w:b/>
      <w:i/>
      <w:iCs/>
      <w:color w:val="000000"/>
      <w:sz w:val="22"/>
    </w:rPr>
  </w:style>
  <w:style w:type="paragraph" w:styleId="Heading5">
    <w:name w:val="heading 5"/>
    <w:basedOn w:val="Normal"/>
    <w:next w:val="Normal"/>
    <w:link w:val="Heading5Char"/>
    <w:uiPriority w:val="9"/>
    <w:semiHidden/>
    <w:unhideWhenUsed/>
    <w:qFormat/>
    <w:rsid w:val="00F15C0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5C0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5C0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5C0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5C0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5C0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5C0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5C0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5C0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5C0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5C0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5C0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5C0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5C03"/>
    <w:rPr>
      <w:rFonts w:eastAsiaTheme="majorEastAsia" w:cstheme="majorBidi"/>
      <w:color w:val="272727" w:themeColor="text1" w:themeTint="D8"/>
    </w:rPr>
  </w:style>
  <w:style w:type="paragraph" w:styleId="Title">
    <w:name w:val="Title"/>
    <w:basedOn w:val="Normal"/>
    <w:next w:val="Normal"/>
    <w:link w:val="TitleChar"/>
    <w:uiPriority w:val="10"/>
    <w:qFormat/>
    <w:rsid w:val="00F15C03"/>
    <w:pPr>
      <w:spacing w:line="240" w:lineRule="auto"/>
      <w:contextualSpacing/>
    </w:pPr>
    <w:rPr>
      <w:rFonts w:asciiTheme="majorHAnsi" w:eastAsiaTheme="majorEastAsia" w:hAnsiTheme="majorHAnsi" w:cstheme="majorBidi"/>
      <w:b/>
      <w:color w:val="000000"/>
      <w:spacing w:val="-10"/>
      <w:kern w:val="28"/>
      <w:sz w:val="28"/>
      <w:szCs w:val="56"/>
    </w:rPr>
  </w:style>
  <w:style w:type="character" w:customStyle="1" w:styleId="TitleChar">
    <w:name w:val="Title Char"/>
    <w:basedOn w:val="DefaultParagraphFont"/>
    <w:link w:val="Title"/>
    <w:uiPriority w:val="10"/>
    <w:rsid w:val="00F15C0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5C0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5C0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5C03"/>
    <w:pPr>
      <w:spacing w:before="160"/>
      <w:jc w:val="center"/>
    </w:pPr>
    <w:rPr>
      <w:i/>
      <w:iCs/>
      <w:color w:val="404040" w:themeColor="text1" w:themeTint="BF"/>
    </w:rPr>
  </w:style>
  <w:style w:type="character" w:customStyle="1" w:styleId="QuoteChar">
    <w:name w:val="Quote Char"/>
    <w:basedOn w:val="DefaultParagraphFont"/>
    <w:link w:val="Quote"/>
    <w:uiPriority w:val="29"/>
    <w:rsid w:val="00F15C03"/>
    <w:rPr>
      <w:i/>
      <w:iCs/>
      <w:color w:val="404040" w:themeColor="text1" w:themeTint="BF"/>
    </w:rPr>
  </w:style>
  <w:style w:type="paragraph" w:styleId="ListParagraph">
    <w:name w:val="List Paragraph"/>
    <w:basedOn w:val="Normal"/>
    <w:uiPriority w:val="34"/>
    <w:qFormat/>
    <w:rsid w:val="00F15C03"/>
    <w:pPr>
      <w:ind w:left="720"/>
      <w:contextualSpacing/>
    </w:pPr>
  </w:style>
  <w:style w:type="character" w:styleId="IntenseEmphasis">
    <w:name w:val="Intense Emphasis"/>
    <w:basedOn w:val="DefaultParagraphFont"/>
    <w:uiPriority w:val="21"/>
    <w:qFormat/>
    <w:rsid w:val="00F15C03"/>
    <w:rPr>
      <w:i/>
      <w:iCs/>
      <w:color w:val="0F4761" w:themeColor="accent1" w:themeShade="BF"/>
    </w:rPr>
  </w:style>
  <w:style w:type="paragraph" w:styleId="IntenseQuote">
    <w:name w:val="Intense Quote"/>
    <w:basedOn w:val="Normal"/>
    <w:next w:val="Normal"/>
    <w:link w:val="IntenseQuoteChar"/>
    <w:uiPriority w:val="30"/>
    <w:qFormat/>
    <w:rsid w:val="00F15C0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5C03"/>
    <w:rPr>
      <w:i/>
      <w:iCs/>
      <w:color w:val="0F4761" w:themeColor="accent1" w:themeShade="BF"/>
    </w:rPr>
  </w:style>
  <w:style w:type="character" w:styleId="IntenseReference">
    <w:name w:val="Intense Reference"/>
    <w:basedOn w:val="DefaultParagraphFont"/>
    <w:uiPriority w:val="32"/>
    <w:qFormat/>
    <w:rsid w:val="00F15C03"/>
    <w:rPr>
      <w:b/>
      <w:bCs/>
      <w:smallCaps/>
      <w:color w:val="0F4761" w:themeColor="accent1" w:themeShade="BF"/>
      <w:spacing w:val="5"/>
    </w:rPr>
  </w:style>
  <w:style w:type="paragraph" w:styleId="Header">
    <w:name w:val="header"/>
    <w:basedOn w:val="Normal"/>
    <w:link w:val="HeaderChar"/>
    <w:uiPriority w:val="99"/>
    <w:unhideWhenUsed/>
    <w:rsid w:val="00F15C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F15C03"/>
  </w:style>
  <w:style w:type="paragraph" w:styleId="Footer">
    <w:name w:val="footer"/>
    <w:basedOn w:val="Normal"/>
    <w:link w:val="FooterChar"/>
    <w:uiPriority w:val="99"/>
    <w:unhideWhenUsed/>
    <w:rsid w:val="00F15C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F15C03"/>
  </w:style>
  <w:style w:type="character" w:styleId="Hyperlink">
    <w:name w:val="Hyperlink"/>
    <w:basedOn w:val="DefaultParagraphFont"/>
    <w:uiPriority w:val="99"/>
    <w:unhideWhenUsed/>
    <w:rsid w:val="00F15C03"/>
    <w:rPr>
      <w:color w:val="467886" w:themeColor="hyperlink"/>
      <w:u w:val="single"/>
    </w:rPr>
  </w:style>
  <w:style w:type="character" w:styleId="UnresolvedMention">
    <w:name w:val="Unresolved Mention"/>
    <w:basedOn w:val="DefaultParagraphFont"/>
    <w:uiPriority w:val="99"/>
    <w:semiHidden/>
    <w:unhideWhenUsed/>
    <w:rsid w:val="00F15C03"/>
    <w:rPr>
      <w:color w:val="605E5C"/>
      <w:shd w:val="clear" w:color="auto" w:fill="E1DFDD"/>
    </w:rPr>
  </w:style>
  <w:style w:type="table" w:styleId="TableGrid">
    <w:name w:val="Table Grid"/>
    <w:basedOn w:val="TableNormal"/>
    <w:uiPriority w:val="59"/>
    <w:rsid w:val="00F15C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9B6CEE4254034E8DD9D5E94621F18A" ma:contentTypeVersion="12" ma:contentTypeDescription="Create a new document." ma:contentTypeScope="" ma:versionID="c2e65323f512c6a515c18d2b8b1fb794">
  <xsd:schema xmlns:xsd="http://www.w3.org/2001/XMLSchema" xmlns:xs="http://www.w3.org/2001/XMLSchema" xmlns:p="http://schemas.microsoft.com/office/2006/metadata/properties" xmlns:ns2="8438084b-e005-4a8b-ad58-f27396e5ccc5" xmlns:ns3="4450dfb5-0075-48d7-b1c5-f913c101e4f1" targetNamespace="http://schemas.microsoft.com/office/2006/metadata/properties" ma:root="true" ma:fieldsID="283d073cf7a9a7835afaaaaad2618a57" ns2:_="" ns3:_="">
    <xsd:import namespace="8438084b-e005-4a8b-ad58-f27396e5ccc5"/>
    <xsd:import namespace="4450dfb5-0075-48d7-b1c5-f913c101e4f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438084b-e005-4a8b-ad58-f27396e5ccc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5fa2b7e-921a-4024-8077-4c46288a4eba"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450dfb5-0075-48d7-b1c5-f913c101e4f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6f9f081-b9e5-4a23-8f8b-aee9ab090940}" ma:internalName="TaxCatchAll" ma:showField="CatchAllData" ma:web="4450dfb5-0075-48d7-b1c5-f913c101e4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450dfb5-0075-48d7-b1c5-f913c101e4f1" xsi:nil="true"/>
    <lcf76f155ced4ddcb4097134ff3c332f xmlns="8438084b-e005-4a8b-ad58-f27396e5ccc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60D7CFD-D426-49A2-A433-D55DA29DB87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438084b-e005-4a8b-ad58-f27396e5ccc5"/>
    <ds:schemaRef ds:uri="4450dfb5-0075-48d7-b1c5-f913c101e4f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76E711-A64C-4389-923D-7D0B12F50163}">
  <ds:schemaRefs>
    <ds:schemaRef ds:uri="http://schemas.microsoft.com/sharepoint/v3/contenttype/forms"/>
  </ds:schemaRefs>
</ds:datastoreItem>
</file>

<file path=customXml/itemProps3.xml><?xml version="1.0" encoding="utf-8"?>
<ds:datastoreItem xmlns:ds="http://schemas.openxmlformats.org/officeDocument/2006/customXml" ds:itemID="{6CCCC641-2810-4814-A372-0592AC3148E2}">
  <ds:schemaRefs>
    <ds:schemaRef ds:uri="http://schemas.microsoft.com/office/2006/metadata/properties"/>
    <ds:schemaRef ds:uri="http://schemas.microsoft.com/office/infopath/2007/PartnerControls"/>
    <ds:schemaRef ds:uri="4450dfb5-0075-48d7-b1c5-f913c101e4f1"/>
    <ds:schemaRef ds:uri="8438084b-e005-4a8b-ad58-f27396e5ccc5"/>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490</Words>
  <Characters>2798</Characters>
  <Application>Microsoft Office Word</Application>
  <DocSecurity>0</DocSecurity>
  <Lines>23</Lines>
  <Paragraphs>6</Paragraphs>
  <ScaleCrop>false</ScaleCrop>
  <Company/>
  <LinksUpToDate>false</LinksUpToDate>
  <CharactersWithSpaces>3282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Tertia Turner</dc:creator>
  <cp:keywords/>
  <dc:description/>
  <cp:lastModifiedBy>Mario Di Clemente</cp:lastModifiedBy>
  <cp:revision>4</cp:revision>
  <dcterms:created xsi:type="dcterms:W3CDTF">2025-08-08T10:15:00Z</dcterms:created>
  <dcterms:modified xsi:type="dcterms:W3CDTF">2026-09-09T10:32:00Z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0x0101001C9B6CEE4254034E8DD9D5E94621F18A</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ies>
</file>