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D6702" w:rsidR="00DD6702" w:rsidP="00DD6702" w:rsidRDefault="00DD6702" w14:paraId="02CDAA24" w14:textId="5BB39F93">
      <w:pPr>
        <w:jc w:val="center"/>
        <w:rPr>
          <w:b/>
          <w:bCs/>
        </w:rPr>
      </w:pPr>
      <w:r w:rsidRPr="00DD6702">
        <w:rPr>
          <w:b/>
          <w:bCs/>
        </w:rPr>
        <w:t>SEND and Inclusion Policy</w:t>
      </w:r>
    </w:p>
    <w:p w:rsidRPr="00DD6702" w:rsidR="00DD6702" w:rsidP="00DD6702" w:rsidRDefault="00DD6702" w14:paraId="009D4720" w14:textId="4D6C6348"/>
    <w:p w:rsidRPr="00DD6702" w:rsidR="00DD6702" w:rsidP="00DD6702" w:rsidRDefault="00DD6702" w14:paraId="2CBE4FDF" w14:textId="77777777">
      <w:pPr>
        <w:rPr>
          <w:b/>
          <w:bCs/>
        </w:rPr>
      </w:pPr>
      <w:r w:rsidRPr="00DD6702">
        <w:rPr>
          <w:b/>
          <w:bCs/>
        </w:rPr>
        <w:t>1. Vision and Commitment</w:t>
      </w:r>
    </w:p>
    <w:p w:rsidRPr="00DD6702" w:rsidR="00DD6702" w:rsidP="00DD6702" w:rsidRDefault="00DD6702" w14:paraId="1C0AEF2A" w14:textId="77777777">
      <w:r w:rsidRPr="00DD6702">
        <w:t>The Tutorial Foundation is fully committed to inclusion and equality. We believe every student has the right to access a high-quality education, regardless of need or disability. We aim to create a socially inclusive community and do not tolerate discrimination.</w:t>
      </w:r>
    </w:p>
    <w:p w:rsidRPr="00DD6702" w:rsidR="00DD6702" w:rsidP="00DD6702" w:rsidRDefault="00DD6702" w14:paraId="6A85D25E" w14:textId="77777777">
      <w:r w:rsidRPr="00DD6702">
        <w:t>We follow the SEND Code of Practice (2015), Children and Families Act 2014, and Equality Act 2010. All staff uphold our inclusive ethos and support students with SEND.</w:t>
      </w:r>
    </w:p>
    <w:p w:rsidRPr="00DD6702" w:rsidR="00DD6702" w:rsidP="00DD6702" w:rsidRDefault="00DD6702" w14:paraId="2AE459DF" w14:textId="5229A4E3"/>
    <w:p w:rsidRPr="00DD6702" w:rsidR="00DD6702" w:rsidP="00DD6702" w:rsidRDefault="00DD6702" w14:paraId="15588998" w14:textId="77777777">
      <w:pPr>
        <w:rPr>
          <w:b/>
          <w:bCs/>
        </w:rPr>
      </w:pPr>
      <w:r w:rsidRPr="00DD6702">
        <w:rPr>
          <w:b/>
          <w:bCs/>
        </w:rPr>
        <w:t>2. Aims</w:t>
      </w:r>
    </w:p>
    <w:p w:rsidRPr="00DD6702" w:rsidR="00DD6702" w:rsidP="00DD6702" w:rsidRDefault="00DD6702" w14:paraId="00A34DEF" w14:textId="77777777">
      <w:pPr>
        <w:numPr>
          <w:ilvl w:val="0"/>
          <w:numId w:val="1"/>
        </w:numPr>
      </w:pPr>
      <w:r w:rsidRPr="00DD6702">
        <w:t>Provide full access to a broad, balanced, and relevant curriculum</w:t>
      </w:r>
    </w:p>
    <w:p w:rsidRPr="00DD6702" w:rsidR="00DD6702" w:rsidP="00DD6702" w:rsidRDefault="00DD6702" w14:paraId="13F188C4" w14:textId="77777777">
      <w:pPr>
        <w:numPr>
          <w:ilvl w:val="0"/>
          <w:numId w:val="1"/>
        </w:numPr>
      </w:pPr>
      <w:r w:rsidRPr="00DD6702">
        <w:t>Ensure timely identification, assessment, and support for students with SEND</w:t>
      </w:r>
    </w:p>
    <w:p w:rsidRPr="00DD6702" w:rsidR="00DD6702" w:rsidP="00DD6702" w:rsidRDefault="00DD6702" w14:paraId="341890DC" w14:textId="77777777">
      <w:pPr>
        <w:numPr>
          <w:ilvl w:val="0"/>
          <w:numId w:val="1"/>
        </w:numPr>
      </w:pPr>
      <w:r w:rsidRPr="00DD6702">
        <w:t>Systematically monitor and review progress</w:t>
      </w:r>
    </w:p>
    <w:p w:rsidRPr="00DD6702" w:rsidR="00DD6702" w:rsidP="00DD6702" w:rsidRDefault="00DD6702" w14:paraId="2D7A1C1B" w14:textId="77777777">
      <w:pPr>
        <w:numPr>
          <w:ilvl w:val="0"/>
          <w:numId w:val="1"/>
        </w:numPr>
      </w:pPr>
      <w:r w:rsidRPr="00DD6702">
        <w:t>Work in partnership with parents/carers and external agencies</w:t>
      </w:r>
    </w:p>
    <w:p w:rsidRPr="00DD6702" w:rsidR="00DD6702" w:rsidP="00DD6702" w:rsidRDefault="00DD6702" w14:paraId="40950147" w14:textId="77777777">
      <w:pPr>
        <w:numPr>
          <w:ilvl w:val="0"/>
          <w:numId w:val="1"/>
        </w:numPr>
      </w:pPr>
      <w:r w:rsidRPr="00DD6702">
        <w:t>Promote independence, wellbeing, and positive self-esteem</w:t>
      </w:r>
    </w:p>
    <w:p w:rsidRPr="00DD6702" w:rsidR="00DD6702" w:rsidP="00DD6702" w:rsidRDefault="00DD6702" w14:paraId="2F5ECB3C" w14:textId="77777777">
      <w:pPr>
        <w:numPr>
          <w:ilvl w:val="0"/>
          <w:numId w:val="1"/>
        </w:numPr>
      </w:pPr>
      <w:r w:rsidRPr="00DD6702">
        <w:t>Support staff with training and CPD in SEND and inclusion</w:t>
      </w:r>
    </w:p>
    <w:p w:rsidRPr="00DD6702" w:rsidR="00DD6702" w:rsidP="00DD6702" w:rsidRDefault="00DD6702" w14:paraId="62A79510" w14:textId="22A7693D"/>
    <w:p w:rsidRPr="00DD6702" w:rsidR="00DD6702" w:rsidP="00DD6702" w:rsidRDefault="00DD6702" w14:paraId="520E5F9A" w14:textId="77777777">
      <w:pPr>
        <w:rPr>
          <w:b/>
          <w:bCs/>
        </w:rPr>
      </w:pPr>
      <w:r w:rsidRPr="00DD6702">
        <w:rPr>
          <w:b/>
          <w:bCs/>
        </w:rPr>
        <w:t>3. Identification and Assessment of SEND</w:t>
      </w:r>
    </w:p>
    <w:p w:rsidRPr="00DD6702" w:rsidR="00DD6702" w:rsidP="00DD6702" w:rsidRDefault="00DD6702" w14:paraId="0C767A27" w14:textId="77777777">
      <w:r w:rsidRPr="00DD6702">
        <w:t>Students may be identified via:</w:t>
      </w:r>
    </w:p>
    <w:p w:rsidRPr="00DD6702" w:rsidR="00DD6702" w:rsidP="00DD6702" w:rsidRDefault="00DD6702" w14:paraId="3838F087" w14:textId="77777777">
      <w:pPr>
        <w:numPr>
          <w:ilvl w:val="0"/>
          <w:numId w:val="2"/>
        </w:numPr>
      </w:pPr>
      <w:r w:rsidRPr="00DD6702">
        <w:t>EHCPs or reports from previous settings</w:t>
      </w:r>
    </w:p>
    <w:p w:rsidRPr="00DD6702" w:rsidR="00DD6702" w:rsidP="00DD6702" w:rsidRDefault="00DD6702" w14:paraId="7B703405" w14:textId="77777777">
      <w:pPr>
        <w:numPr>
          <w:ilvl w:val="0"/>
          <w:numId w:val="2"/>
        </w:numPr>
      </w:pPr>
      <w:r w:rsidRPr="00DD6702">
        <w:t>Parental or staff concern</w:t>
      </w:r>
    </w:p>
    <w:p w:rsidRPr="00DD6702" w:rsidR="00DD6702" w:rsidP="00DD6702" w:rsidRDefault="00DD6702" w14:paraId="1A88A0E0" w14:textId="77777777">
      <w:pPr>
        <w:numPr>
          <w:ilvl w:val="0"/>
          <w:numId w:val="2"/>
        </w:numPr>
      </w:pPr>
      <w:r w:rsidRPr="00DD6702">
        <w:t>Baseline and ongoing assessment data</w:t>
      </w:r>
    </w:p>
    <w:p w:rsidRPr="00DD6702" w:rsidR="00DD6702" w:rsidP="00DD6702" w:rsidRDefault="00DD6702" w14:paraId="06906B00" w14:textId="77777777">
      <w:pPr>
        <w:numPr>
          <w:ilvl w:val="0"/>
          <w:numId w:val="2"/>
        </w:numPr>
      </w:pPr>
      <w:r w:rsidRPr="00DD6702">
        <w:t>Reports from specialists (e.g. Ed Psych, SALT)</w:t>
      </w:r>
    </w:p>
    <w:p w:rsidRPr="00DD6702" w:rsidR="00DD6702" w:rsidP="00DD6702" w:rsidRDefault="00DD6702" w14:paraId="6D658643" w14:textId="77777777">
      <w:pPr>
        <w:numPr>
          <w:ilvl w:val="0"/>
          <w:numId w:val="2"/>
        </w:numPr>
      </w:pPr>
      <w:r w:rsidRPr="00DD6702">
        <w:t>Behaviour or learning observations</w:t>
      </w:r>
    </w:p>
    <w:p w:rsidRPr="00DD6702" w:rsidR="00DD6702" w:rsidP="00DD6702" w:rsidRDefault="00DD6702" w14:paraId="6ADC9912" w14:textId="18EB7B91">
      <w:r w:rsidRPr="00DD6702">
        <w:t>All students with SEND are placed on the SEND Register and supported using the Assess–Plan–Do–Review cycle.</w:t>
      </w:r>
      <w:r w:rsidR="00E13108">
        <w:t xml:space="preserve"> Should staff have concerns with regards to </w:t>
      </w:r>
      <w:r w:rsidR="00DE7896">
        <w:t>any student</w:t>
      </w:r>
      <w:r w:rsidR="003E42B8">
        <w:t>s and the</w:t>
      </w:r>
      <w:r w:rsidR="00404650">
        <w:t xml:space="preserve">ir needs, they can follow the schools internal referral process. </w:t>
      </w:r>
    </w:p>
    <w:p w:rsidRPr="00DD6702" w:rsidR="00DD6702" w:rsidP="00DD6702" w:rsidRDefault="00DD6702" w14:paraId="2BE93490" w14:textId="0B7D1BA9"/>
    <w:p w:rsidRPr="00DD6702" w:rsidR="00DD6702" w:rsidP="00DD6702" w:rsidRDefault="00DD6702" w14:paraId="2C9236E1" w14:textId="77777777">
      <w:pPr>
        <w:rPr>
          <w:b/>
          <w:bCs/>
        </w:rPr>
      </w:pPr>
      <w:r w:rsidRPr="00DD6702">
        <w:rPr>
          <w:b/>
          <w:bCs/>
        </w:rPr>
        <w:t>4. Categories of SEND Supported</w:t>
      </w:r>
    </w:p>
    <w:p w:rsidRPr="00DD6702" w:rsidR="00DD6702" w:rsidP="00DD6702" w:rsidRDefault="00DD6702" w14:paraId="005022EB" w14:textId="0D73DC9C">
      <w:r w:rsidRPr="00DD6702">
        <w:t xml:space="preserve">We support a wide range of needs, </w:t>
      </w:r>
      <w:r w:rsidR="00654CDC">
        <w:t xml:space="preserve">across the four broad areas of need Communication and Interaction, </w:t>
      </w:r>
      <w:r w:rsidR="00A04DC6">
        <w:t>Cognition and Learning, Social, Emotional and Mental Health</w:t>
      </w:r>
      <w:r w:rsidR="002C3303">
        <w:t xml:space="preserve"> and Sensory and or Physical </w:t>
      </w:r>
      <w:r w:rsidRPr="00DD6702">
        <w:t>including:</w:t>
      </w:r>
    </w:p>
    <w:p w:rsidRPr="00DD6702" w:rsidR="00DD6702" w:rsidP="00DD6702" w:rsidRDefault="00DD6702" w14:paraId="5EDA448E" w14:textId="69307CFC">
      <w:pPr>
        <w:numPr>
          <w:ilvl w:val="0"/>
          <w:numId w:val="3"/>
        </w:numPr>
      </w:pPr>
      <w:r w:rsidRPr="00DD6702">
        <w:t xml:space="preserve">Autism Spectrum </w:t>
      </w:r>
      <w:r w:rsidR="00B8324B">
        <w:t>Condition</w:t>
      </w:r>
      <w:r w:rsidRPr="00DD6702">
        <w:t xml:space="preserve"> (AS</w:t>
      </w:r>
      <w:r w:rsidR="00B8324B">
        <w:t>C</w:t>
      </w:r>
      <w:r w:rsidRPr="00DD6702">
        <w:t>)</w:t>
      </w:r>
    </w:p>
    <w:p w:rsidRPr="00DD6702" w:rsidR="00DD6702" w:rsidP="00DD6702" w:rsidRDefault="00DD6702" w14:paraId="7684E59B" w14:textId="77777777">
      <w:pPr>
        <w:numPr>
          <w:ilvl w:val="0"/>
          <w:numId w:val="3"/>
        </w:numPr>
      </w:pPr>
      <w:r w:rsidRPr="00DD6702">
        <w:lastRenderedPageBreak/>
        <w:t>ADHD</w:t>
      </w:r>
    </w:p>
    <w:p w:rsidRPr="00DD6702" w:rsidR="00DD6702" w:rsidP="00DD6702" w:rsidRDefault="00DD6702" w14:paraId="63696C55" w14:textId="77777777">
      <w:pPr>
        <w:numPr>
          <w:ilvl w:val="0"/>
          <w:numId w:val="3"/>
        </w:numPr>
      </w:pPr>
      <w:r w:rsidRPr="00DD6702">
        <w:t>Specific and Moderate Learning Difficulties (SLD/MLD)</w:t>
      </w:r>
    </w:p>
    <w:p w:rsidRPr="00DD6702" w:rsidR="00DD6702" w:rsidP="00DD6702" w:rsidRDefault="00DD6702" w14:paraId="5E6DF0FD" w14:textId="71632DF5">
      <w:pPr>
        <w:numPr>
          <w:ilvl w:val="0"/>
          <w:numId w:val="3"/>
        </w:numPr>
      </w:pPr>
      <w:r w:rsidRPr="00DD6702">
        <w:t>Speech</w:t>
      </w:r>
      <w:r w:rsidR="001868AD">
        <w:t>, Language and Communication Needs</w:t>
      </w:r>
      <w:r w:rsidRPr="00DD6702">
        <w:t xml:space="preserve"> (S</w:t>
      </w:r>
      <w:r w:rsidR="001868AD">
        <w:t>LCN</w:t>
      </w:r>
      <w:r w:rsidRPr="00DD6702">
        <w:t>)</w:t>
      </w:r>
    </w:p>
    <w:p w:rsidR="00DD6702" w:rsidP="00DD6702" w:rsidRDefault="00DD6702" w14:paraId="6507F32B" w14:textId="4242CAB0">
      <w:pPr>
        <w:numPr>
          <w:ilvl w:val="0"/>
          <w:numId w:val="3"/>
        </w:numPr>
      </w:pPr>
      <w:r w:rsidRPr="00DD6702">
        <w:t>Dyslexia, ODD, and complex/multiple needs</w:t>
      </w:r>
    </w:p>
    <w:p w:rsidRPr="00DD6702" w:rsidR="00E13108" w:rsidP="00E13108" w:rsidRDefault="00E13108" w14:paraId="54A707A8" w14:textId="77777777">
      <w:pPr>
        <w:ind w:left="720"/>
      </w:pPr>
    </w:p>
    <w:p w:rsidRPr="00DD6702" w:rsidR="00DD6702" w:rsidP="00DD6702" w:rsidRDefault="00DD6702" w14:paraId="7D08AB1C" w14:textId="77777777">
      <w:pPr>
        <w:rPr>
          <w:b/>
          <w:bCs/>
        </w:rPr>
      </w:pPr>
      <w:r w:rsidRPr="00DD6702">
        <w:rPr>
          <w:b/>
          <w:bCs/>
        </w:rPr>
        <w:t>5. Provision and Support</w:t>
      </w:r>
    </w:p>
    <w:p w:rsidR="00DD6702" w:rsidP="00DD6702" w:rsidRDefault="00DD6702" w14:paraId="50993FFD" w14:textId="77777777">
      <w:pPr>
        <w:rPr>
          <w:b/>
          <w:bCs/>
        </w:rPr>
      </w:pPr>
      <w:r w:rsidRPr="00DD6702">
        <w:rPr>
          <w:b/>
          <w:bCs/>
        </w:rPr>
        <w:t>Educational Support:</w:t>
      </w:r>
    </w:p>
    <w:p w:rsidRPr="00DD6702" w:rsidR="00BA3AA7" w:rsidP="00894699" w:rsidRDefault="00894699" w14:paraId="2CF50DAF" w14:textId="7FD48765">
      <w:pPr>
        <w:numPr>
          <w:ilvl w:val="0"/>
          <w:numId w:val="4"/>
        </w:numPr>
      </w:pPr>
      <w:r w:rsidRPr="00894699">
        <w:t>Quality</w:t>
      </w:r>
      <w:r>
        <w:rPr>
          <w:b/>
          <w:bCs/>
        </w:rPr>
        <w:t xml:space="preserve"> </w:t>
      </w:r>
      <w:r w:rsidRPr="00894699">
        <w:t xml:space="preserve">First </w:t>
      </w:r>
      <w:r>
        <w:t xml:space="preserve">and Adaptive </w:t>
      </w:r>
      <w:r w:rsidRPr="00894699">
        <w:t>Teaching</w:t>
      </w:r>
    </w:p>
    <w:p w:rsidRPr="00DD6702" w:rsidR="00DD6702" w:rsidP="00DD6702" w:rsidRDefault="00DD6702" w14:paraId="2238BFA1" w14:textId="2598259A">
      <w:pPr>
        <w:numPr>
          <w:ilvl w:val="0"/>
          <w:numId w:val="4"/>
        </w:numPr>
      </w:pPr>
      <w:r w:rsidRPr="00DD6702">
        <w:t xml:space="preserve">Small group sizes </w:t>
      </w:r>
    </w:p>
    <w:p w:rsidRPr="00DD6702" w:rsidR="00DD6702" w:rsidP="00DD6702" w:rsidRDefault="00DD6702" w14:paraId="761C3A7C" w14:textId="77777777">
      <w:pPr>
        <w:numPr>
          <w:ilvl w:val="0"/>
          <w:numId w:val="4"/>
        </w:numPr>
      </w:pPr>
      <w:r w:rsidRPr="00DD6702">
        <w:t>1:1 tuition where required</w:t>
      </w:r>
    </w:p>
    <w:p w:rsidRPr="00DD6702" w:rsidR="00DD6702" w:rsidP="00DD6702" w:rsidRDefault="00DD6702" w14:paraId="33FC8D53" w14:textId="77777777">
      <w:pPr>
        <w:numPr>
          <w:ilvl w:val="0"/>
          <w:numId w:val="4"/>
        </w:numPr>
      </w:pPr>
      <w:r w:rsidRPr="00DD6702">
        <w:t>Differentiated teaching and personal profiles</w:t>
      </w:r>
    </w:p>
    <w:p w:rsidRPr="00DD6702" w:rsidR="00DD6702" w:rsidP="00DD6702" w:rsidRDefault="00DD6702" w14:paraId="7AC680BE" w14:textId="77777777">
      <w:pPr>
        <w:numPr>
          <w:ilvl w:val="0"/>
          <w:numId w:val="4"/>
        </w:numPr>
      </w:pPr>
      <w:r w:rsidRPr="00DD6702">
        <w:t>Use of laptops or ICT access</w:t>
      </w:r>
    </w:p>
    <w:p w:rsidRPr="00DD6702" w:rsidR="00DD6702" w:rsidP="00DD6702" w:rsidRDefault="00DD6702" w14:paraId="2C45DFD4" w14:textId="77777777">
      <w:pPr>
        <w:numPr>
          <w:ilvl w:val="0"/>
          <w:numId w:val="4"/>
        </w:numPr>
      </w:pPr>
      <w:r w:rsidRPr="00DD6702">
        <w:t>Literacy/numeracy catch-up sessions</w:t>
      </w:r>
    </w:p>
    <w:p w:rsidRPr="00DD6702" w:rsidR="00DD6702" w:rsidP="00DD6702" w:rsidRDefault="00DD6702" w14:paraId="0FA88396" w14:textId="77777777">
      <w:pPr>
        <w:numPr>
          <w:ilvl w:val="0"/>
          <w:numId w:val="4"/>
        </w:numPr>
      </w:pPr>
      <w:r w:rsidRPr="00DD6702">
        <w:t>Exam access arrangements</w:t>
      </w:r>
    </w:p>
    <w:p w:rsidRPr="00DD6702" w:rsidR="00DD6702" w:rsidP="00DD6702" w:rsidRDefault="00DD6702" w14:paraId="4ECCD47A" w14:textId="77777777">
      <w:r w:rsidRPr="00DD6702">
        <w:rPr>
          <w:b/>
          <w:bCs/>
        </w:rPr>
        <w:t>Pastoral and Emotional Support:</w:t>
      </w:r>
    </w:p>
    <w:p w:rsidRPr="00DD6702" w:rsidR="00DD6702" w:rsidP="00DD6702" w:rsidRDefault="00DD6702" w14:paraId="230034FF" w14:textId="77777777">
      <w:pPr>
        <w:numPr>
          <w:ilvl w:val="0"/>
          <w:numId w:val="5"/>
        </w:numPr>
      </w:pPr>
      <w:r w:rsidRPr="00DD6702">
        <w:t>Individual Pastoral Support Plans</w:t>
      </w:r>
    </w:p>
    <w:p w:rsidRPr="00DD6702" w:rsidR="00DD6702" w:rsidP="00DD6702" w:rsidRDefault="00DD6702" w14:paraId="59FDEAF5" w14:textId="77777777">
      <w:pPr>
        <w:numPr>
          <w:ilvl w:val="0"/>
          <w:numId w:val="5"/>
        </w:numPr>
      </w:pPr>
      <w:r w:rsidRPr="00DD6702">
        <w:t>In-house counsellors and Learning Mentors</w:t>
      </w:r>
    </w:p>
    <w:p w:rsidRPr="00DD6702" w:rsidR="00DD6702" w:rsidP="00DD6702" w:rsidRDefault="00DD6702" w14:paraId="7D2BAE6A" w14:textId="77777777">
      <w:pPr>
        <w:numPr>
          <w:ilvl w:val="0"/>
          <w:numId w:val="5"/>
        </w:numPr>
      </w:pPr>
      <w:r w:rsidRPr="00DD6702">
        <w:t>Social skills groups and ELSA support</w:t>
      </w:r>
    </w:p>
    <w:p w:rsidRPr="00DD6702" w:rsidR="00DD6702" w:rsidP="00DD6702" w:rsidRDefault="00DD6702" w14:paraId="0FCF0A8D" w14:textId="77777777">
      <w:pPr>
        <w:numPr>
          <w:ilvl w:val="0"/>
          <w:numId w:val="5"/>
        </w:numPr>
      </w:pPr>
      <w:r w:rsidRPr="00DD6702">
        <w:t>Student voice through councils and mentoring</w:t>
      </w:r>
    </w:p>
    <w:p w:rsidRPr="00DD6702" w:rsidR="00DD6702" w:rsidP="00DD6702" w:rsidRDefault="00DD6702" w14:paraId="14D48862" w14:textId="77777777">
      <w:pPr>
        <w:numPr>
          <w:ilvl w:val="0"/>
          <w:numId w:val="5"/>
        </w:numPr>
      </w:pPr>
      <w:r w:rsidRPr="00DD6702">
        <w:t>Safe spaces/quiet rooms</w:t>
      </w:r>
    </w:p>
    <w:p w:rsidRPr="00DD6702" w:rsidR="00DD6702" w:rsidP="00DD6702" w:rsidRDefault="00DD6702" w14:paraId="3880E42E" w14:textId="77777777">
      <w:pPr>
        <w:numPr>
          <w:ilvl w:val="0"/>
          <w:numId w:val="5"/>
        </w:numPr>
      </w:pPr>
      <w:r w:rsidRPr="00DD6702">
        <w:t>Daily behaviour point systems</w:t>
      </w:r>
    </w:p>
    <w:p w:rsidRPr="00DD6702" w:rsidR="00DD6702" w:rsidP="00DD6702" w:rsidRDefault="00DD6702" w14:paraId="43BE849D" w14:textId="77777777">
      <w:r w:rsidRPr="00DD6702">
        <w:rPr>
          <w:b/>
          <w:bCs/>
        </w:rPr>
        <w:t>Speech, Language and Communication:</w:t>
      </w:r>
    </w:p>
    <w:p w:rsidRPr="00DD6702" w:rsidR="00DD6702" w:rsidP="00DD6702" w:rsidRDefault="00DD6702" w14:paraId="7EF254F2" w14:textId="77777777">
      <w:pPr>
        <w:numPr>
          <w:ilvl w:val="0"/>
          <w:numId w:val="6"/>
        </w:numPr>
      </w:pPr>
      <w:r w:rsidRPr="00DD6702">
        <w:t>In-school SALT interventions</w:t>
      </w:r>
    </w:p>
    <w:p w:rsidRPr="00DD6702" w:rsidR="00DD6702" w:rsidP="00DD6702" w:rsidRDefault="00DD6702" w14:paraId="31B1C6EB" w14:textId="77777777">
      <w:pPr>
        <w:numPr>
          <w:ilvl w:val="0"/>
          <w:numId w:val="6"/>
        </w:numPr>
      </w:pPr>
      <w:r w:rsidRPr="00DD6702">
        <w:t>Individual programmes for identified pupils</w:t>
      </w:r>
    </w:p>
    <w:p w:rsidRPr="00DD6702" w:rsidR="00DD6702" w:rsidP="00DD6702" w:rsidRDefault="00DD6702" w14:paraId="0C28FAB8" w14:textId="77777777">
      <w:r w:rsidRPr="00DD6702">
        <w:rPr>
          <w:b/>
          <w:bCs/>
        </w:rPr>
        <w:t>Transitions:</w:t>
      </w:r>
    </w:p>
    <w:p w:rsidRPr="00DD6702" w:rsidR="00DD6702" w:rsidP="00DD6702" w:rsidRDefault="00DD6702" w14:paraId="1B27140D" w14:textId="77777777">
      <w:pPr>
        <w:numPr>
          <w:ilvl w:val="0"/>
          <w:numId w:val="7"/>
        </w:numPr>
      </w:pPr>
      <w:r w:rsidRPr="00DD6702">
        <w:t>Bespoke transition plans</w:t>
      </w:r>
    </w:p>
    <w:p w:rsidRPr="00DD6702" w:rsidR="00DD6702" w:rsidP="00DD6702" w:rsidRDefault="00DD6702" w14:paraId="4538FAD5" w14:textId="77777777">
      <w:pPr>
        <w:numPr>
          <w:ilvl w:val="0"/>
          <w:numId w:val="7"/>
        </w:numPr>
      </w:pPr>
      <w:r w:rsidRPr="00DD6702">
        <w:t>Liaison with feeder/onward schools</w:t>
      </w:r>
    </w:p>
    <w:p w:rsidRPr="00DD6702" w:rsidR="00DD6702" w:rsidP="00DD6702" w:rsidRDefault="00DD6702" w14:paraId="35FB9B7D" w14:textId="77777777">
      <w:pPr>
        <w:numPr>
          <w:ilvl w:val="0"/>
          <w:numId w:val="7"/>
        </w:numPr>
      </w:pPr>
      <w:r w:rsidRPr="00DD6702">
        <w:t>Additional visits/support on entry/exit</w:t>
      </w:r>
    </w:p>
    <w:p w:rsidRPr="00DD6702" w:rsidR="00DD6702" w:rsidP="00DD6702" w:rsidRDefault="00DD6702" w14:paraId="1088E9A6" w14:textId="23F77E97"/>
    <w:p w:rsidRPr="00DD6702" w:rsidR="00DD6702" w:rsidP="00DD6702" w:rsidRDefault="00DD6702" w14:paraId="6F78339C" w14:textId="77777777">
      <w:pPr>
        <w:rPr>
          <w:b/>
          <w:bCs/>
        </w:rPr>
      </w:pPr>
      <w:r w:rsidRPr="00DD6702">
        <w:rPr>
          <w:b/>
          <w:bCs/>
        </w:rPr>
        <w:t>6. Tracking and Monitoring Progress</w:t>
      </w:r>
    </w:p>
    <w:p w:rsidRPr="00DD6702" w:rsidR="00DD6702" w:rsidP="00DD6702" w:rsidRDefault="00DD6702" w14:paraId="7160CB40" w14:textId="77777777">
      <w:pPr>
        <w:numPr>
          <w:ilvl w:val="0"/>
          <w:numId w:val="8"/>
        </w:numPr>
      </w:pPr>
      <w:r w:rsidRPr="00DD6702">
        <w:t>All staff assess and track progress regularly</w:t>
      </w:r>
    </w:p>
    <w:p w:rsidRPr="00DD6702" w:rsidR="00DD6702" w:rsidP="00DD6702" w:rsidRDefault="00DD6702" w14:paraId="29623F87" w14:textId="77777777">
      <w:pPr>
        <w:numPr>
          <w:ilvl w:val="0"/>
          <w:numId w:val="8"/>
        </w:numPr>
      </w:pPr>
      <w:r w:rsidRPr="00DD6702">
        <w:lastRenderedPageBreak/>
        <w:t>Data informs teaching, grouping, and interventions</w:t>
      </w:r>
    </w:p>
    <w:p w:rsidRPr="00DD6702" w:rsidR="00DD6702" w:rsidP="00DD6702" w:rsidRDefault="00DD6702" w14:paraId="392BD976" w14:textId="77777777">
      <w:pPr>
        <w:numPr>
          <w:ilvl w:val="0"/>
          <w:numId w:val="8"/>
        </w:numPr>
      </w:pPr>
      <w:r w:rsidRPr="00DD6702">
        <w:t>Parents receive termly reports and attend Academic Review Days</w:t>
      </w:r>
    </w:p>
    <w:p w:rsidRPr="00DD6702" w:rsidR="00DD6702" w:rsidP="00DD6702" w:rsidRDefault="00DD6702" w14:paraId="62425F47" w14:textId="77777777">
      <w:pPr>
        <w:numPr>
          <w:ilvl w:val="0"/>
          <w:numId w:val="8"/>
        </w:numPr>
      </w:pPr>
      <w:r w:rsidRPr="00DD6702">
        <w:t>EHCP Annual Reviews involve all stakeholders</w:t>
      </w:r>
    </w:p>
    <w:p w:rsidRPr="00DD6702" w:rsidR="00DD6702" w:rsidP="00DD6702" w:rsidRDefault="00DD6702" w14:paraId="274E17B6" w14:textId="68C036BA"/>
    <w:p w:rsidRPr="00DD6702" w:rsidR="00DD6702" w:rsidP="00DD6702" w:rsidRDefault="00DD6702" w14:paraId="79F070B0" w14:textId="77777777">
      <w:pPr>
        <w:rPr>
          <w:b/>
          <w:bCs/>
        </w:rPr>
      </w:pPr>
      <w:r w:rsidRPr="00DD6702">
        <w:rPr>
          <w:b/>
          <w:bCs/>
        </w:rPr>
        <w:t>7. Working with Families</w:t>
      </w:r>
    </w:p>
    <w:p w:rsidRPr="00DD6702" w:rsidR="00DD6702" w:rsidP="00DD6702" w:rsidRDefault="00DD6702" w14:paraId="18200C65" w14:textId="77777777">
      <w:r w:rsidRPr="00DD6702">
        <w:t>We value family partnership and maintain regular communication through:</w:t>
      </w:r>
    </w:p>
    <w:p w:rsidRPr="00DD6702" w:rsidR="00DD6702" w:rsidP="00DD6702" w:rsidRDefault="00DD6702" w14:paraId="20884D4B" w14:textId="77777777">
      <w:pPr>
        <w:numPr>
          <w:ilvl w:val="0"/>
          <w:numId w:val="9"/>
        </w:numPr>
      </w:pPr>
      <w:r w:rsidRPr="00DD6702">
        <w:t>Phone calls, review meetings, and school reports</w:t>
      </w:r>
    </w:p>
    <w:p w:rsidRPr="00DD6702" w:rsidR="00DD6702" w:rsidP="00DD6702" w:rsidRDefault="00DD6702" w14:paraId="2809FE7B" w14:textId="77777777">
      <w:pPr>
        <w:numPr>
          <w:ilvl w:val="0"/>
          <w:numId w:val="9"/>
        </w:numPr>
      </w:pPr>
      <w:r w:rsidRPr="00DD6702">
        <w:t>Collaborative intervention planning</w:t>
      </w:r>
    </w:p>
    <w:p w:rsidRPr="00DD6702" w:rsidR="00DD6702" w:rsidP="00DD6702" w:rsidRDefault="00DD6702" w14:paraId="22746C0F" w14:textId="77777777">
      <w:pPr>
        <w:numPr>
          <w:ilvl w:val="0"/>
          <w:numId w:val="9"/>
        </w:numPr>
      </w:pPr>
      <w:r w:rsidRPr="00DD6702">
        <w:t>Translation/advocacy support if needed</w:t>
      </w:r>
    </w:p>
    <w:p w:rsidRPr="00DD6702" w:rsidR="00DD6702" w:rsidP="00DD6702" w:rsidRDefault="00DD6702" w14:paraId="676237D7" w14:textId="77777777">
      <w:r w:rsidRPr="00DD6702">
        <w:rPr>
          <w:b/>
          <w:bCs/>
        </w:rPr>
        <w:t>Support organisations include:</w:t>
      </w:r>
    </w:p>
    <w:p w:rsidRPr="00DD6702" w:rsidR="00DD6702" w:rsidP="00DD6702" w:rsidRDefault="00DD6702" w14:paraId="3E051C61" w14:textId="77777777">
      <w:pPr>
        <w:numPr>
          <w:ilvl w:val="0"/>
          <w:numId w:val="10"/>
        </w:numPr>
      </w:pPr>
      <w:r w:rsidRPr="00DD6702">
        <w:t>Bromley Parent Voice – 07803 287838</w:t>
      </w:r>
    </w:p>
    <w:p w:rsidRPr="00DD6702" w:rsidR="00DD6702" w:rsidP="00DD6702" w:rsidRDefault="00DD6702" w14:paraId="651E96F1" w14:textId="77777777">
      <w:pPr>
        <w:numPr>
          <w:ilvl w:val="0"/>
          <w:numId w:val="10"/>
        </w:numPr>
      </w:pPr>
      <w:r w:rsidRPr="00DD6702">
        <w:t>Lewisham Parent and Carers Forum – 07534 568020</w:t>
      </w:r>
    </w:p>
    <w:p w:rsidRPr="00DD6702" w:rsidR="00DD6702" w:rsidP="00DD6702" w:rsidRDefault="00DD6702" w14:paraId="6191965B" w14:textId="77777777">
      <w:pPr>
        <w:numPr>
          <w:ilvl w:val="0"/>
          <w:numId w:val="10"/>
        </w:numPr>
      </w:pPr>
      <w:r w:rsidRPr="00DD6702">
        <w:t>Bexley IASS – 0203 045 5976</w:t>
      </w:r>
    </w:p>
    <w:p w:rsidR="00DD6702" w:rsidP="00DD6702" w:rsidRDefault="00DD6702" w14:paraId="7E507FC4" w14:textId="0F8DDFA5">
      <w:pPr>
        <w:numPr>
          <w:ilvl w:val="0"/>
          <w:numId w:val="10"/>
        </w:numPr>
      </w:pPr>
      <w:r w:rsidRPr="00DD6702">
        <w:t>Croydon Parents in Partnership – 020 8684 5890</w:t>
      </w:r>
    </w:p>
    <w:p w:rsidR="000C4926" w:rsidP="00DD6702" w:rsidRDefault="000C4926" w14:paraId="1A833E29" w14:textId="1285CAA8">
      <w:pPr>
        <w:numPr>
          <w:ilvl w:val="0"/>
          <w:numId w:val="10"/>
        </w:numPr>
      </w:pPr>
      <w:r>
        <w:t>Bromley IASS</w:t>
      </w:r>
      <w:r w:rsidR="003B666B">
        <w:t xml:space="preserve"> </w:t>
      </w:r>
      <w:r w:rsidR="00596EE2">
        <w:t xml:space="preserve"> </w:t>
      </w:r>
      <w:r>
        <w:t xml:space="preserve">– </w:t>
      </w:r>
      <w:r w:rsidR="004C1B22">
        <w:t xml:space="preserve">0208 461 </w:t>
      </w:r>
      <w:r w:rsidR="009B5093">
        <w:t>7630</w:t>
      </w:r>
    </w:p>
    <w:p w:rsidR="00376CB5" w:rsidP="00DD6702" w:rsidRDefault="00376CB5" w14:paraId="746FB6EB" w14:textId="3571F40F">
      <w:pPr>
        <w:numPr>
          <w:ilvl w:val="0"/>
          <w:numId w:val="10"/>
        </w:numPr>
      </w:pPr>
      <w:r>
        <w:t xml:space="preserve">Bromley Children’s Project </w:t>
      </w:r>
      <w:r w:rsidR="00811572">
        <w:t>–</w:t>
      </w:r>
      <w:r>
        <w:t xml:space="preserve"> </w:t>
      </w:r>
      <w:r w:rsidR="00811572">
        <w:t>0208 461 7259</w:t>
      </w:r>
    </w:p>
    <w:p w:rsidRPr="00DD6702" w:rsidR="00DD6702" w:rsidP="00DD6702" w:rsidRDefault="00DD6702" w14:paraId="71428BB2" w14:textId="77777777">
      <w:pPr>
        <w:rPr>
          <w:b/>
          <w:bCs/>
        </w:rPr>
      </w:pPr>
      <w:r w:rsidRPr="00DD6702">
        <w:rPr>
          <w:b/>
          <w:bCs/>
        </w:rPr>
        <w:t>8. Inclusion and Equal Opportunities</w:t>
      </w:r>
    </w:p>
    <w:p w:rsidRPr="00DD6702" w:rsidR="00DD6702" w:rsidP="00DD6702" w:rsidRDefault="00DD6702" w14:paraId="20F6117E" w14:textId="77777777">
      <w:pPr>
        <w:numPr>
          <w:ilvl w:val="0"/>
          <w:numId w:val="11"/>
        </w:numPr>
      </w:pPr>
      <w:r w:rsidRPr="00DD6702">
        <w:t>Equal access to the curriculum for all</w:t>
      </w:r>
    </w:p>
    <w:p w:rsidRPr="00DD6702" w:rsidR="00DD6702" w:rsidP="00DD6702" w:rsidRDefault="00DD6702" w14:paraId="1B09E2EC" w14:textId="77777777">
      <w:pPr>
        <w:numPr>
          <w:ilvl w:val="0"/>
          <w:numId w:val="11"/>
        </w:numPr>
      </w:pPr>
      <w:r w:rsidRPr="00DD6702">
        <w:t>Reasonable adjustments for disabilities</w:t>
      </w:r>
    </w:p>
    <w:p w:rsidRPr="00DD6702" w:rsidR="00DD6702" w:rsidP="00DD6702" w:rsidRDefault="00DD6702" w14:paraId="65532A89" w14:textId="77777777">
      <w:pPr>
        <w:numPr>
          <w:ilvl w:val="0"/>
          <w:numId w:val="11"/>
        </w:numPr>
      </w:pPr>
      <w:r w:rsidRPr="00DD6702">
        <w:t>Inclusion in all activities and trips</w:t>
      </w:r>
    </w:p>
    <w:p w:rsidRPr="00DD6702" w:rsidR="00DD6702" w:rsidP="00DD6702" w:rsidRDefault="00DD6702" w14:paraId="4293A974" w14:textId="77777777">
      <w:pPr>
        <w:numPr>
          <w:ilvl w:val="0"/>
          <w:numId w:val="11"/>
        </w:numPr>
      </w:pPr>
      <w:r w:rsidRPr="00DD6702">
        <w:t>Protection from discrimination and bullying</w:t>
      </w:r>
    </w:p>
    <w:p w:rsidRPr="00DD6702" w:rsidR="00DD6702" w:rsidP="00DD6702" w:rsidRDefault="00DD6702" w14:paraId="35D89F42" w14:textId="78C3BF2C"/>
    <w:p w:rsidRPr="00DD6702" w:rsidR="00DD6702" w:rsidP="00DD6702" w:rsidRDefault="00DD6702" w14:paraId="526271D4" w14:textId="77777777">
      <w:pPr>
        <w:rPr>
          <w:b/>
          <w:bCs/>
        </w:rPr>
      </w:pPr>
      <w:r w:rsidRPr="00DD6702">
        <w:rPr>
          <w:b/>
          <w:bCs/>
        </w:rPr>
        <w:t>9. Working with External Agencies</w:t>
      </w:r>
    </w:p>
    <w:p w:rsidR="00DD6702" w:rsidP="00DD6702" w:rsidRDefault="00DD6702" w14:paraId="25B5BD77" w14:textId="77777777">
      <w:r w:rsidRPr="00DD6702">
        <w:t>We collaborate with:</w:t>
      </w:r>
    </w:p>
    <w:p w:rsidRPr="00DD6702" w:rsidR="00B85EA4" w:rsidP="00B85EA4" w:rsidRDefault="00B85EA4" w14:paraId="066DB301" w14:textId="77777777">
      <w:pPr>
        <w:numPr>
          <w:ilvl w:val="0"/>
          <w:numId w:val="12"/>
        </w:numPr>
      </w:pPr>
      <w:r w:rsidRPr="00DD6702">
        <w:t>Educational Psychology Service</w:t>
      </w:r>
    </w:p>
    <w:p w:rsidRPr="00DD6702" w:rsidR="00B85EA4" w:rsidP="00B85EA4" w:rsidRDefault="00B85EA4" w14:paraId="3978D1EE" w14:textId="77777777">
      <w:pPr>
        <w:numPr>
          <w:ilvl w:val="0"/>
          <w:numId w:val="12"/>
        </w:numPr>
      </w:pPr>
      <w:r w:rsidRPr="00DD6702">
        <w:t>Speech and Language Therapy</w:t>
      </w:r>
    </w:p>
    <w:p w:rsidRPr="00DD6702" w:rsidR="00B85EA4" w:rsidP="00B85EA4" w:rsidRDefault="00B85EA4" w14:paraId="6B1A6383" w14:textId="77777777">
      <w:pPr>
        <w:numPr>
          <w:ilvl w:val="0"/>
          <w:numId w:val="12"/>
        </w:numPr>
      </w:pPr>
      <w:r w:rsidRPr="00DD6702">
        <w:t>Occupational Therapy</w:t>
      </w:r>
    </w:p>
    <w:p w:rsidRPr="00DD6702" w:rsidR="00B85EA4" w:rsidP="00B85EA4" w:rsidRDefault="00B85EA4" w14:paraId="6E688070" w14:textId="77777777">
      <w:pPr>
        <w:numPr>
          <w:ilvl w:val="0"/>
          <w:numId w:val="12"/>
        </w:numPr>
      </w:pPr>
      <w:r w:rsidRPr="00DD6702">
        <w:t>Social Communication Teams</w:t>
      </w:r>
    </w:p>
    <w:p w:rsidRPr="00DD6702" w:rsidR="00B85EA4" w:rsidP="00B85EA4" w:rsidRDefault="00B85EA4" w14:paraId="3A143F99" w14:textId="77777777">
      <w:pPr>
        <w:numPr>
          <w:ilvl w:val="0"/>
          <w:numId w:val="12"/>
        </w:numPr>
      </w:pPr>
      <w:r w:rsidRPr="00DD6702">
        <w:t>Behaviour Support Services</w:t>
      </w:r>
    </w:p>
    <w:p w:rsidRPr="00DD6702" w:rsidR="00B85EA4" w:rsidP="00B85EA4" w:rsidRDefault="00B85EA4" w14:paraId="35D8B49D" w14:textId="77777777">
      <w:pPr>
        <w:numPr>
          <w:ilvl w:val="0"/>
          <w:numId w:val="12"/>
        </w:numPr>
      </w:pPr>
      <w:r w:rsidRPr="00DD6702">
        <w:t>CAMHS and medical professionals</w:t>
      </w:r>
    </w:p>
    <w:p w:rsidR="00B85EA4" w:rsidP="00B85EA4" w:rsidRDefault="00B85EA4" w14:paraId="5595B151" w14:textId="77777777">
      <w:pPr>
        <w:numPr>
          <w:ilvl w:val="0"/>
          <w:numId w:val="12"/>
        </w:numPr>
      </w:pPr>
      <w:r w:rsidRPr="00DD6702">
        <w:t>Local Authority SEND teams</w:t>
      </w:r>
    </w:p>
    <w:p w:rsidRPr="005D0ABA" w:rsidR="00B85EA4" w:rsidP="00B85EA4" w:rsidRDefault="00B85EA4" w14:paraId="6AC058CC" w14:textId="77777777">
      <w:pPr>
        <w:numPr>
          <w:ilvl w:val="0"/>
          <w:numId w:val="12"/>
        </w:numPr>
      </w:pPr>
      <w:r w:rsidRPr="005D0ABA">
        <w:lastRenderedPageBreak/>
        <w:t xml:space="preserve">Personalised Education services/Home Tuition Service </w:t>
      </w:r>
    </w:p>
    <w:p w:rsidRPr="005D0ABA" w:rsidR="00B85EA4" w:rsidP="00B85EA4" w:rsidRDefault="00B85EA4" w14:paraId="701B8B48" w14:textId="77777777">
      <w:pPr>
        <w:numPr>
          <w:ilvl w:val="0"/>
          <w:numId w:val="12"/>
        </w:numPr>
      </w:pPr>
      <w:r w:rsidRPr="005D0ABA">
        <w:t>Social Workers who work with the families and school</w:t>
      </w:r>
    </w:p>
    <w:p w:rsidRPr="005D0ABA" w:rsidR="00B85EA4" w:rsidP="00B85EA4" w:rsidRDefault="00B85EA4" w14:paraId="6BBB4F0D" w14:textId="77777777">
      <w:pPr>
        <w:numPr>
          <w:ilvl w:val="0"/>
          <w:numId w:val="12"/>
        </w:numPr>
      </w:pPr>
      <w:r w:rsidRPr="005D0ABA">
        <w:t>Virtual School who support for those who are CLA</w:t>
      </w:r>
    </w:p>
    <w:p w:rsidRPr="00DD6702" w:rsidR="00B85EA4" w:rsidP="00DD6702" w:rsidRDefault="00B85EA4" w14:paraId="2A728539" w14:textId="39EA15F6">
      <w:pPr>
        <w:numPr>
          <w:ilvl w:val="0"/>
          <w:numId w:val="12"/>
        </w:numPr>
      </w:pPr>
      <w:r w:rsidRPr="005D0ABA">
        <w:t>Counsellors who offer therapies for identified learners with trauma</w:t>
      </w:r>
    </w:p>
    <w:p w:rsidRPr="00DD6702" w:rsidR="00DD6702" w:rsidP="00DD6702" w:rsidRDefault="00DD6702" w14:paraId="164F340E" w14:textId="77777777">
      <w:r w:rsidRPr="00DD6702">
        <w:t>Referrals are made via the SENCo or GP with parental consent.</w:t>
      </w:r>
    </w:p>
    <w:p w:rsidRPr="00DD6702" w:rsidR="00DD6702" w:rsidP="00DD6702" w:rsidRDefault="00DD6702" w14:paraId="778CA911" w14:textId="0889E41D"/>
    <w:p w:rsidRPr="00DD6702" w:rsidR="00DD6702" w:rsidP="00DD6702" w:rsidRDefault="00DD6702" w14:paraId="6A3EE2EA" w14:textId="77777777">
      <w:pPr>
        <w:rPr>
          <w:b/>
          <w:bCs/>
        </w:rPr>
      </w:pPr>
      <w:r w:rsidRPr="00DD6702">
        <w:rPr>
          <w:b/>
          <w:bCs/>
        </w:rPr>
        <w:t>10. Local Authority and Legal Compliance</w:t>
      </w:r>
    </w:p>
    <w:p w:rsidRPr="00DD6702" w:rsidR="00DD6702" w:rsidP="00DD6702" w:rsidRDefault="00DD6702" w14:paraId="09942106" w14:textId="77777777">
      <w:pPr>
        <w:numPr>
          <w:ilvl w:val="0"/>
          <w:numId w:val="13"/>
        </w:numPr>
      </w:pPr>
      <w:r w:rsidRPr="00DD6702">
        <w:t>Work with Bromley, Lewisham, Bexley, Kent, Greenwich, Croydon, and Lambeth LAs</w:t>
      </w:r>
    </w:p>
    <w:p w:rsidRPr="00DD6702" w:rsidR="00DD6702" w:rsidP="00DD6702" w:rsidRDefault="00DD6702" w14:paraId="12C399E1" w14:textId="77777777">
      <w:pPr>
        <w:numPr>
          <w:ilvl w:val="0"/>
          <w:numId w:val="13"/>
        </w:numPr>
      </w:pPr>
      <w:r w:rsidRPr="00DD6702">
        <w:t>Comply with EHCP processes and reviews</w:t>
      </w:r>
    </w:p>
    <w:p w:rsidRPr="00DD6702" w:rsidR="00DD6702" w:rsidP="00DD6702" w:rsidRDefault="00DD6702" w14:paraId="74F31724" w14:textId="77777777">
      <w:pPr>
        <w:numPr>
          <w:ilvl w:val="0"/>
          <w:numId w:val="13"/>
        </w:numPr>
      </w:pPr>
      <w:r w:rsidRPr="00DD6702">
        <w:t>Apply for High Needs Funding where appropriate</w:t>
      </w:r>
    </w:p>
    <w:p w:rsidRPr="00DD6702" w:rsidR="00DD6702" w:rsidP="00DD6702" w:rsidRDefault="00DD6702" w14:paraId="2CCBA815" w14:textId="77777777">
      <w:pPr>
        <w:numPr>
          <w:ilvl w:val="0"/>
          <w:numId w:val="13"/>
        </w:numPr>
      </w:pPr>
      <w:r w:rsidRPr="00DD6702">
        <w:t>Share Local Offer links with families</w:t>
      </w:r>
    </w:p>
    <w:p w:rsidRPr="00DD6702" w:rsidR="00DD6702" w:rsidP="00DD6702" w:rsidRDefault="00DD6702" w14:paraId="1BFBE59A" w14:textId="2D00DA05"/>
    <w:p w:rsidRPr="00DD6702" w:rsidR="00DD6702" w:rsidP="00DD6702" w:rsidRDefault="00DD6702" w14:paraId="29A412B9" w14:textId="77777777">
      <w:pPr>
        <w:rPr>
          <w:b/>
          <w:bCs/>
        </w:rPr>
      </w:pPr>
      <w:r w:rsidRPr="00DD6702">
        <w:rPr>
          <w:b/>
          <w:bCs/>
        </w:rPr>
        <w:t>11. Staff Training and Development</w:t>
      </w:r>
    </w:p>
    <w:p w:rsidRPr="00DD6702" w:rsidR="00DD6702" w:rsidP="00DD6702" w:rsidRDefault="00DD6702" w14:paraId="166F0B84" w14:textId="492EB50B">
      <w:pPr>
        <w:numPr>
          <w:ilvl w:val="0"/>
          <w:numId w:val="14"/>
        </w:numPr>
      </w:pPr>
      <w:r w:rsidRPr="00DD6702">
        <w:t>Regular CPD in differentiation,</w:t>
      </w:r>
      <w:r w:rsidR="00766B0E">
        <w:t xml:space="preserve"> adaptive teaching,</w:t>
      </w:r>
      <w:r w:rsidRPr="00DD6702">
        <w:t xml:space="preserve"> inclusive teaching, behaviour strategies, understanding </w:t>
      </w:r>
      <w:r w:rsidR="00B9259C">
        <w:t xml:space="preserve">specific </w:t>
      </w:r>
      <w:r w:rsidRPr="00DD6702">
        <w:t>SEND conditions, self-regulation, and emotional literacy</w:t>
      </w:r>
    </w:p>
    <w:p w:rsidRPr="00DD6702" w:rsidR="00DD6702" w:rsidP="00DD6702" w:rsidRDefault="00DD6702" w14:paraId="3D19854B" w14:textId="77777777">
      <w:pPr>
        <w:numPr>
          <w:ilvl w:val="0"/>
          <w:numId w:val="14"/>
        </w:numPr>
      </w:pPr>
      <w:r w:rsidRPr="00DD6702">
        <w:t>Visits to other schools and external agency training encouraged</w:t>
      </w:r>
    </w:p>
    <w:p w:rsidRPr="00DD6702" w:rsidR="00DD6702" w:rsidP="00DD6702" w:rsidRDefault="00DD6702" w14:paraId="171B6CE2" w14:textId="14B8AF1C"/>
    <w:p w:rsidRPr="00DD6702" w:rsidR="00DD6702" w:rsidP="00DD6702" w:rsidRDefault="00DD6702" w14:paraId="122CDD64" w14:textId="77777777">
      <w:pPr>
        <w:rPr>
          <w:b/>
          <w:bCs/>
        </w:rPr>
      </w:pPr>
      <w:r w:rsidRPr="00DD6702">
        <w:rPr>
          <w:b/>
          <w:bCs/>
        </w:rPr>
        <w:t>12. Accessibility and Facilities</w:t>
      </w:r>
    </w:p>
    <w:p w:rsidRPr="00DD6702" w:rsidR="00DD6702" w:rsidP="00DD6702" w:rsidRDefault="0006670A" w14:paraId="5E35FD26" w14:textId="0CC46100">
      <w:pPr>
        <w:numPr>
          <w:ilvl w:val="0"/>
          <w:numId w:val="15"/>
        </w:numPr>
      </w:pPr>
      <w:r>
        <w:t>The school assesses individual access needs and makes reasonable adjustments</w:t>
      </w:r>
      <w:r w:rsidR="00941EBA">
        <w:t xml:space="preserve"> wherever practicable</w:t>
      </w:r>
    </w:p>
    <w:p w:rsidRPr="00DD6702" w:rsidR="00DD6702" w:rsidP="00DD6702" w:rsidRDefault="00DD6702" w14:paraId="583D8101" w14:textId="77777777">
      <w:pPr>
        <w:numPr>
          <w:ilvl w:val="0"/>
          <w:numId w:val="15"/>
        </w:numPr>
      </w:pPr>
      <w:r w:rsidRPr="00DD6702">
        <w:t>Reasonable adjustments made for mobility, sensory, or health needs</w:t>
      </w:r>
    </w:p>
    <w:p w:rsidRPr="00DD6702" w:rsidR="00DD6702" w:rsidP="00DD6702" w:rsidRDefault="00DD6702" w14:paraId="4A8AFA46" w14:textId="77777777">
      <w:pPr>
        <w:numPr>
          <w:ilvl w:val="0"/>
          <w:numId w:val="15"/>
        </w:numPr>
      </w:pPr>
      <w:r w:rsidRPr="00DD6702">
        <w:t>Risk assessments and support plans in place</w:t>
      </w:r>
    </w:p>
    <w:p w:rsidRPr="00DD6702" w:rsidR="00DD6702" w:rsidP="00DD6702" w:rsidRDefault="00DD6702" w14:paraId="50B03362" w14:textId="77777777">
      <w:pPr>
        <w:numPr>
          <w:ilvl w:val="0"/>
          <w:numId w:val="15"/>
        </w:numPr>
      </w:pPr>
      <w:r w:rsidRPr="00DD6702">
        <w:t>Facilities reviewed regularly to meet diverse needs</w:t>
      </w:r>
    </w:p>
    <w:p w:rsidRPr="00DD6702" w:rsidR="00DD6702" w:rsidP="00DD6702" w:rsidRDefault="00DD6702" w14:paraId="12B01C48" w14:textId="0C228EFB"/>
    <w:p w:rsidRPr="00DD6702" w:rsidR="00DD6702" w:rsidP="00DD6702" w:rsidRDefault="00DD6702" w14:paraId="0939BC4B" w14:textId="77777777">
      <w:pPr>
        <w:rPr>
          <w:b/>
          <w:bCs/>
        </w:rPr>
      </w:pPr>
      <w:r w:rsidRPr="00DD6702">
        <w:rPr>
          <w:b/>
          <w:bCs/>
        </w:rPr>
        <w:t>13. Safeguarding, Bullying, and LAC</w:t>
      </w:r>
    </w:p>
    <w:p w:rsidRPr="00DD6702" w:rsidR="00DD6702" w:rsidP="00DD6702" w:rsidRDefault="00DD6702" w14:paraId="06F93D53" w14:textId="77777777">
      <w:pPr>
        <w:numPr>
          <w:ilvl w:val="0"/>
          <w:numId w:val="16"/>
        </w:numPr>
      </w:pPr>
      <w:r w:rsidRPr="00DD6702">
        <w:t>Pupils with SEND are supported via Safeguarding and Anti-Bullying Policies</w:t>
      </w:r>
    </w:p>
    <w:p w:rsidRPr="00DD6702" w:rsidR="00DD6702" w:rsidP="00DD6702" w:rsidRDefault="00DD6702" w14:paraId="22B255D9" w14:textId="77777777">
      <w:pPr>
        <w:numPr>
          <w:ilvl w:val="0"/>
          <w:numId w:val="16"/>
        </w:numPr>
      </w:pPr>
      <w:r w:rsidRPr="00DD6702">
        <w:t>LAC pupils supported by the Virtual School and social services</w:t>
      </w:r>
    </w:p>
    <w:p w:rsidR="00DD6702" w:rsidP="00DD6702" w:rsidRDefault="00DD6702" w14:paraId="035974D7" w14:textId="64492879">
      <w:pPr>
        <w:numPr>
          <w:ilvl w:val="0"/>
          <w:numId w:val="16"/>
        </w:numPr>
      </w:pPr>
      <w:r w:rsidRPr="00DD6702">
        <w:t>See related policies on the school website</w:t>
      </w:r>
    </w:p>
    <w:p w:rsidRPr="00DD6702" w:rsidR="00E225F3" w:rsidP="00E225F3" w:rsidRDefault="00E225F3" w14:paraId="29787A52" w14:textId="77777777">
      <w:pPr>
        <w:ind w:left="720"/>
      </w:pPr>
    </w:p>
    <w:p w:rsidRPr="00DD6702" w:rsidR="00DD6702" w:rsidP="00DD6702" w:rsidRDefault="00DD6702" w14:paraId="19E40BB0" w14:textId="77777777">
      <w:pPr>
        <w:rPr>
          <w:b/>
          <w:bCs/>
        </w:rPr>
      </w:pPr>
      <w:r w:rsidRPr="00DD6702">
        <w:rPr>
          <w:b/>
          <w:bCs/>
        </w:rPr>
        <w:t>14. Evaluating Effectiveness</w:t>
      </w:r>
    </w:p>
    <w:p w:rsidRPr="00DD6702" w:rsidR="00DD6702" w:rsidP="00DD6702" w:rsidRDefault="00DD6702" w14:paraId="5CA11F86" w14:textId="77777777">
      <w:r w:rsidRPr="00DD6702">
        <w:t>Success is measured through:</w:t>
      </w:r>
    </w:p>
    <w:p w:rsidRPr="00DD6702" w:rsidR="00DD6702" w:rsidP="00DD6702" w:rsidRDefault="00DD6702" w14:paraId="2C43478D" w14:textId="77777777">
      <w:pPr>
        <w:numPr>
          <w:ilvl w:val="0"/>
          <w:numId w:val="17"/>
        </w:numPr>
      </w:pPr>
      <w:r w:rsidRPr="00DD6702">
        <w:lastRenderedPageBreak/>
        <w:t>Progress towards ISP/EHCP targets</w:t>
      </w:r>
    </w:p>
    <w:p w:rsidRPr="00DD6702" w:rsidR="00DD6702" w:rsidP="00DD6702" w:rsidRDefault="00DD6702" w14:paraId="2C1CA6F8" w14:textId="77777777">
      <w:pPr>
        <w:numPr>
          <w:ilvl w:val="0"/>
          <w:numId w:val="17"/>
        </w:numPr>
      </w:pPr>
      <w:r w:rsidRPr="00DD6702">
        <w:t>Pupil engagement and voice</w:t>
      </w:r>
    </w:p>
    <w:p w:rsidRPr="00DD6702" w:rsidR="00DD6702" w:rsidP="00DD6702" w:rsidRDefault="00DD6702" w14:paraId="623E3B27" w14:textId="77777777">
      <w:pPr>
        <w:numPr>
          <w:ilvl w:val="0"/>
          <w:numId w:val="17"/>
        </w:numPr>
      </w:pPr>
      <w:r w:rsidRPr="00DD6702">
        <w:t>Parental feedback</w:t>
      </w:r>
    </w:p>
    <w:p w:rsidRPr="00DD6702" w:rsidR="00DD6702" w:rsidP="00DD6702" w:rsidRDefault="00DD6702" w14:paraId="087036D1" w14:textId="77777777">
      <w:pPr>
        <w:numPr>
          <w:ilvl w:val="0"/>
          <w:numId w:val="17"/>
        </w:numPr>
      </w:pPr>
      <w:r w:rsidRPr="00DD6702">
        <w:t>Staff evaluation cycles</w:t>
      </w:r>
    </w:p>
    <w:p w:rsidRPr="00821829" w:rsidR="007D594B" w:rsidP="00DD6702" w:rsidRDefault="00DD6702" w14:paraId="2E4BA0A6" w14:textId="49857343">
      <w:pPr>
        <w:numPr>
          <w:ilvl w:val="0"/>
          <w:numId w:val="17"/>
        </w:numPr>
      </w:pPr>
      <w:r w:rsidRPr="00DD6702">
        <w:t>Academic outcomes, attendance, and behaviour data</w:t>
      </w:r>
    </w:p>
    <w:p w:rsidRPr="00DD6702" w:rsidR="00DD6702" w:rsidP="00DD6702" w:rsidRDefault="00DD6702" w14:paraId="268C9BA5" w14:textId="1CF641EB">
      <w:pPr>
        <w:rPr>
          <w:b/>
          <w:bCs/>
        </w:rPr>
      </w:pPr>
      <w:r w:rsidRPr="00DD6702">
        <w:rPr>
          <w:b/>
          <w:bCs/>
        </w:rPr>
        <w:t>15. Admissions</w:t>
      </w:r>
    </w:p>
    <w:p w:rsidRPr="00DD6702" w:rsidR="00DD6702" w:rsidP="00DD6702" w:rsidRDefault="00DD6702" w14:paraId="7B3BDFB5" w14:textId="77777777">
      <w:r w:rsidRPr="00DD6702">
        <w:t>In line with the School Admissions Code (2021):</w:t>
      </w:r>
    </w:p>
    <w:p w:rsidRPr="00DD6702" w:rsidR="00DD6702" w:rsidP="00DD6702" w:rsidRDefault="00DD6702" w14:paraId="430209A1" w14:textId="77777777">
      <w:pPr>
        <w:numPr>
          <w:ilvl w:val="0"/>
          <w:numId w:val="18"/>
        </w:numPr>
      </w:pPr>
      <w:r w:rsidRPr="00DD6702">
        <w:t>Students named in an EHCP will be admitted</w:t>
      </w:r>
    </w:p>
    <w:p w:rsidRPr="00DD6702" w:rsidR="00DD6702" w:rsidP="00DD6702" w:rsidRDefault="00DD6702" w14:paraId="40384E77" w14:textId="77777777">
      <w:pPr>
        <w:numPr>
          <w:ilvl w:val="0"/>
          <w:numId w:val="18"/>
        </w:numPr>
      </w:pPr>
      <w:r w:rsidRPr="00DD6702">
        <w:t>The Headteacher meets prospective families to discuss SEND needs</w:t>
      </w:r>
    </w:p>
    <w:p w:rsidR="00821829" w:rsidP="00821829" w:rsidRDefault="00DD6702" w14:paraId="3438CFF8" w14:textId="0E929C70">
      <w:pPr>
        <w:numPr>
          <w:ilvl w:val="0"/>
          <w:numId w:val="18"/>
        </w:numPr>
      </w:pPr>
      <w:r w:rsidRPr="00DD6702">
        <w:t>Tailored visits and transition plans are arranged</w:t>
      </w:r>
    </w:p>
    <w:p w:rsidRPr="00277EB0" w:rsidR="00821829" w:rsidP="00821829" w:rsidRDefault="00821829" w14:paraId="66550516" w14:textId="2501F0ED">
      <w:pPr>
        <w:rPr>
          <w:b/>
          <w:bCs/>
        </w:rPr>
      </w:pPr>
      <w:r w:rsidRPr="00277EB0">
        <w:rPr>
          <w:b/>
          <w:bCs/>
        </w:rPr>
        <w:t xml:space="preserve">16. Complaints </w:t>
      </w:r>
    </w:p>
    <w:p w:rsidRPr="00221EFF" w:rsidR="00B03E95" w:rsidP="00221EFF" w:rsidRDefault="00B03E95" w14:paraId="34118115" w14:textId="77777777">
      <w:r w:rsidRPr="00221EFF">
        <w:t>At The Tutorial Foundation, we take all concerns seriously and aim to resolve them as quickly and effectively as possible. We encourage parents to follow these steps:  </w:t>
      </w:r>
    </w:p>
    <w:p w:rsidRPr="00221EFF" w:rsidR="00B03E95" w:rsidP="00221EFF" w:rsidRDefault="00B03E95" w14:paraId="1E91CB9D" w14:textId="77777777">
      <w:pPr>
        <w:numPr>
          <w:ilvl w:val="0"/>
          <w:numId w:val="18"/>
        </w:numPr>
      </w:pPr>
      <w:r w:rsidRPr="00221EFF">
        <w:rPr>
          <w:b/>
          <w:bCs/>
        </w:rPr>
        <w:t>Speak with the Subject Teacher:</w:t>
      </w:r>
      <w:r w:rsidRPr="00221EFF">
        <w:t xml:space="preserve"> In most cases, discussing the issue directly with the class teacher will resolve any concerns.  </w:t>
      </w:r>
    </w:p>
    <w:p w:rsidRPr="00221EFF" w:rsidR="00B03E95" w:rsidP="00221EFF" w:rsidRDefault="00B03E95" w14:paraId="5A3CF65D" w14:textId="30DC357B">
      <w:pPr>
        <w:numPr>
          <w:ilvl w:val="0"/>
          <w:numId w:val="18"/>
        </w:numPr>
      </w:pPr>
      <w:r w:rsidRPr="00221EFF">
        <w:rPr>
          <w:b/>
          <w:bCs/>
        </w:rPr>
        <w:t>Meet with the SENCo:</w:t>
      </w:r>
      <w:r w:rsidRPr="00221EFF">
        <w:t xml:space="preserve"> If the issue remains unresolved, a meeting with the SENCo can be arranged to further discuss the matter.  </w:t>
      </w:r>
      <w:r w:rsidR="00FB3629">
        <w:t>All SEND Team details are available in our SEN Information Report.</w:t>
      </w:r>
    </w:p>
    <w:p w:rsidRPr="00221EFF" w:rsidR="00B03E95" w:rsidP="00221EFF" w:rsidRDefault="00B03E95" w14:paraId="6FC42DB1" w14:textId="77777777">
      <w:pPr>
        <w:numPr>
          <w:ilvl w:val="0"/>
          <w:numId w:val="18"/>
        </w:numPr>
      </w:pPr>
      <w:r w:rsidRPr="00221EFF">
        <w:rPr>
          <w:b/>
          <w:bCs/>
        </w:rPr>
        <w:t>Senior Leadership Team Involvement:</w:t>
      </w:r>
      <w:r w:rsidRPr="00221EFF">
        <w:t xml:space="preserve"> Should the issue persist, a member of the senior leadership team will engage with the concern.  </w:t>
      </w:r>
    </w:p>
    <w:p w:rsidR="00DD6702" w:rsidP="00221EFF" w:rsidRDefault="00B03E95" w14:paraId="7ABDC3DD" w14:textId="72D4EE57">
      <w:pPr>
        <w:numPr>
          <w:ilvl w:val="0"/>
          <w:numId w:val="18"/>
        </w:numPr>
      </w:pPr>
      <w:r w:rsidRPr="00221EFF">
        <w:rPr>
          <w:b/>
          <w:bCs/>
        </w:rPr>
        <w:t>Complaints Policy:</w:t>
      </w:r>
      <w:r w:rsidRPr="00221EFF">
        <w:t xml:space="preserve"> If the issue is still unresolved after these steps, parents should refer to the school’s formal complaints policy for further action.  </w:t>
      </w:r>
    </w:p>
    <w:p w:rsidRPr="00621A24" w:rsidR="00DD6702" w:rsidP="00DD6702" w:rsidRDefault="00DD6702" w14:paraId="642C8244" w14:textId="77777777">
      <w:pPr>
        <w:rPr>
          <w:b/>
          <w:bCs/>
        </w:rPr>
      </w:pPr>
      <w:r w:rsidRPr="00621A24">
        <w:rPr>
          <w:b/>
          <w:bCs/>
        </w:rPr>
        <w:t>Policy Sign Off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2992"/>
        <w:gridCol w:w="2967"/>
      </w:tblGrid>
      <w:tr w:rsidRPr="00957CD7" w:rsidR="00DD6702" w:rsidTr="7C7DF362" w14:paraId="461DA586" w14:textId="77777777"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7CD7" w:rsidR="00DD6702" w:rsidP="002D6FF2" w:rsidRDefault="00DD6702" w14:paraId="1A8E5A6C" w14:textId="77777777">
            <w:pPr>
              <w:spacing w:after="160" w:line="259" w:lineRule="auto"/>
              <w:rPr>
                <w:b/>
              </w:rPr>
            </w:pP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57CD7" w:rsidR="00DD6702" w:rsidP="002D6FF2" w:rsidRDefault="00DD6702" w14:paraId="622FB467" w14:textId="77777777">
            <w:pPr>
              <w:spacing w:after="160" w:line="259" w:lineRule="auto"/>
              <w:rPr>
                <w:b/>
              </w:rPr>
            </w:pPr>
            <w:r w:rsidRPr="00957CD7">
              <w:rPr>
                <w:b/>
              </w:rPr>
              <w:t>By whom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57CD7" w:rsidR="00DD6702" w:rsidP="002D6FF2" w:rsidRDefault="00DD6702" w14:paraId="5B28C515" w14:textId="77777777">
            <w:pPr>
              <w:spacing w:after="160" w:line="259" w:lineRule="auto"/>
              <w:rPr>
                <w:b/>
              </w:rPr>
            </w:pPr>
            <w:r w:rsidRPr="00957CD7">
              <w:rPr>
                <w:b/>
              </w:rPr>
              <w:t>Date</w:t>
            </w:r>
          </w:p>
        </w:tc>
      </w:tr>
      <w:tr w:rsidRPr="00957CD7" w:rsidR="00DD6702" w:rsidTr="7C7DF362" w14:paraId="1529AF19" w14:textId="77777777"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57CD7" w:rsidR="00DD6702" w:rsidP="002D6FF2" w:rsidRDefault="00DD6702" w14:paraId="7A63D8EC" w14:textId="77777777">
            <w:pPr>
              <w:spacing w:after="160" w:line="259" w:lineRule="auto"/>
              <w:rPr>
                <w:b/>
              </w:rPr>
            </w:pPr>
            <w:r w:rsidRPr="00957CD7">
              <w:rPr>
                <w:b/>
              </w:rPr>
              <w:t>Policy signed off by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7CD7" w:rsidR="00DD6702" w:rsidP="002D6FF2" w:rsidRDefault="00DD6702" w14:paraId="6385CE5E" w14:textId="207070A1">
            <w:pPr>
              <w:spacing w:after="160" w:line="259" w:lineRule="auto"/>
            </w:pPr>
            <w:r w:rsidR="47D80B50">
              <w:rPr/>
              <w:t>Vicky Collman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7CD7" w:rsidR="00DD6702" w:rsidP="002D6FF2" w:rsidRDefault="00DD6702" w14:paraId="1F4AD713" w14:textId="600012EB">
            <w:pPr>
              <w:spacing w:after="160" w:line="259" w:lineRule="auto"/>
            </w:pPr>
            <w:r w:rsidR="47D80B50">
              <w:rPr/>
              <w:t>8/6/2026</w:t>
            </w:r>
          </w:p>
        </w:tc>
      </w:tr>
      <w:tr w:rsidRPr="00957CD7" w:rsidR="00DD6702" w:rsidTr="7C7DF362" w14:paraId="1F90559B" w14:textId="77777777"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57CD7" w:rsidR="00DD6702" w:rsidP="002D6FF2" w:rsidRDefault="00DD6702" w14:paraId="11EA112C" w14:textId="77777777">
            <w:pPr>
              <w:spacing w:after="160" w:line="259" w:lineRule="auto"/>
              <w:rPr>
                <w:b/>
              </w:rPr>
            </w:pPr>
            <w:r w:rsidRPr="00957CD7">
              <w:rPr>
                <w:b/>
              </w:rPr>
              <w:t>Next Review By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7CD7" w:rsidR="00DD6702" w:rsidP="002D6FF2" w:rsidRDefault="00DD6702" w14:paraId="5BA180A0" w14:textId="77777777">
            <w:pPr>
              <w:spacing w:after="160" w:line="259" w:lineRule="auto"/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57CD7" w:rsidR="00DD6702" w:rsidP="002D6FF2" w:rsidRDefault="00DD6702" w14:paraId="5DD06A71" w14:textId="77777777">
            <w:pPr>
              <w:spacing w:after="160" w:line="259" w:lineRule="auto"/>
            </w:pPr>
          </w:p>
        </w:tc>
      </w:tr>
    </w:tbl>
    <w:p w:rsidR="00DD6702" w:rsidP="00DD6702" w:rsidRDefault="00DD6702" w14:paraId="7F30EC01" w14:textId="77777777"/>
    <w:p w:rsidR="00DD6702" w:rsidRDefault="00DD6702" w14:paraId="4331AFA7" w14:textId="77777777"/>
    <w:sectPr w:rsidR="00DD6702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4BC0" w:rsidP="00DD6702" w:rsidRDefault="00924BC0" w14:paraId="5C70A6AB" w14:textId="77777777">
      <w:pPr>
        <w:spacing w:after="0" w:line="240" w:lineRule="auto"/>
      </w:pPr>
      <w:r>
        <w:separator/>
      </w:r>
    </w:p>
  </w:endnote>
  <w:endnote w:type="continuationSeparator" w:id="0">
    <w:p w:rsidR="00924BC0" w:rsidP="00DD6702" w:rsidRDefault="00924BC0" w14:paraId="4B8027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4BC0" w:rsidP="00DD6702" w:rsidRDefault="00924BC0" w14:paraId="414D067E" w14:textId="77777777">
      <w:pPr>
        <w:spacing w:after="0" w:line="240" w:lineRule="auto"/>
      </w:pPr>
      <w:r>
        <w:separator/>
      </w:r>
    </w:p>
  </w:footnote>
  <w:footnote w:type="continuationSeparator" w:id="0">
    <w:p w:rsidR="00924BC0" w:rsidP="00DD6702" w:rsidRDefault="00924BC0" w14:paraId="46B9F03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D6702" w:rsidRDefault="00DD6702" w14:paraId="525E102C" w14:textId="54281D8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00B382" wp14:editId="7A0C62BA">
          <wp:simplePos x="0" y="0"/>
          <wp:positionH relativeFrom="column">
            <wp:posOffset>4248150</wp:posOffset>
          </wp:positionH>
          <wp:positionV relativeFrom="paragraph">
            <wp:posOffset>-163830</wp:posOffset>
          </wp:positionV>
          <wp:extent cx="2019300" cy="622935"/>
          <wp:effectExtent l="0" t="0" r="0" b="5715"/>
          <wp:wrapNone/>
          <wp:docPr id="5" name="Picture 1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urpl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0F01"/>
    <w:multiLevelType w:val="multilevel"/>
    <w:tmpl w:val="A01242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745E2"/>
    <w:multiLevelType w:val="multilevel"/>
    <w:tmpl w:val="6B46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FBB037B"/>
    <w:multiLevelType w:val="hybridMultilevel"/>
    <w:tmpl w:val="6BCCD4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F95676"/>
    <w:multiLevelType w:val="multilevel"/>
    <w:tmpl w:val="6EF0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2B07940"/>
    <w:multiLevelType w:val="multilevel"/>
    <w:tmpl w:val="CDEA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5F8437C"/>
    <w:multiLevelType w:val="multilevel"/>
    <w:tmpl w:val="4E6E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7650D3E"/>
    <w:multiLevelType w:val="multilevel"/>
    <w:tmpl w:val="845A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BAB68BD"/>
    <w:multiLevelType w:val="multilevel"/>
    <w:tmpl w:val="EE28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C5751AF"/>
    <w:multiLevelType w:val="multilevel"/>
    <w:tmpl w:val="DF10E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9C09EF"/>
    <w:multiLevelType w:val="multilevel"/>
    <w:tmpl w:val="7E36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9414278"/>
    <w:multiLevelType w:val="multilevel"/>
    <w:tmpl w:val="7BA258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1E418B"/>
    <w:multiLevelType w:val="multilevel"/>
    <w:tmpl w:val="6A30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67242A3"/>
    <w:multiLevelType w:val="multilevel"/>
    <w:tmpl w:val="792C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9CA07DB"/>
    <w:multiLevelType w:val="multilevel"/>
    <w:tmpl w:val="02AC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D310A74"/>
    <w:multiLevelType w:val="multilevel"/>
    <w:tmpl w:val="5A1A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2D45DDC"/>
    <w:multiLevelType w:val="multilevel"/>
    <w:tmpl w:val="21BA4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011B08"/>
    <w:multiLevelType w:val="multilevel"/>
    <w:tmpl w:val="532C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FB86803"/>
    <w:multiLevelType w:val="multilevel"/>
    <w:tmpl w:val="1058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A9D6050"/>
    <w:multiLevelType w:val="multilevel"/>
    <w:tmpl w:val="426C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00B143D"/>
    <w:multiLevelType w:val="multilevel"/>
    <w:tmpl w:val="3788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76FC72EE"/>
    <w:multiLevelType w:val="multilevel"/>
    <w:tmpl w:val="E1E6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A4E42B0"/>
    <w:multiLevelType w:val="multilevel"/>
    <w:tmpl w:val="4E4E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CA1728B"/>
    <w:multiLevelType w:val="multilevel"/>
    <w:tmpl w:val="0F0A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81657136">
    <w:abstractNumId w:val="5"/>
  </w:num>
  <w:num w:numId="2" w16cid:durableId="2035184114">
    <w:abstractNumId w:val="7"/>
  </w:num>
  <w:num w:numId="3" w16cid:durableId="706681835">
    <w:abstractNumId w:val="6"/>
  </w:num>
  <w:num w:numId="4" w16cid:durableId="1222135455">
    <w:abstractNumId w:val="13"/>
  </w:num>
  <w:num w:numId="5" w16cid:durableId="257178998">
    <w:abstractNumId w:val="18"/>
  </w:num>
  <w:num w:numId="6" w16cid:durableId="715667447">
    <w:abstractNumId w:val="4"/>
  </w:num>
  <w:num w:numId="7" w16cid:durableId="662319216">
    <w:abstractNumId w:val="9"/>
  </w:num>
  <w:num w:numId="8" w16cid:durableId="730544486">
    <w:abstractNumId w:val="21"/>
  </w:num>
  <w:num w:numId="9" w16cid:durableId="1891309514">
    <w:abstractNumId w:val="11"/>
  </w:num>
  <w:num w:numId="10" w16cid:durableId="1608584308">
    <w:abstractNumId w:val="14"/>
  </w:num>
  <w:num w:numId="11" w16cid:durableId="687945486">
    <w:abstractNumId w:val="22"/>
  </w:num>
  <w:num w:numId="12" w16cid:durableId="1623531076">
    <w:abstractNumId w:val="17"/>
  </w:num>
  <w:num w:numId="13" w16cid:durableId="1571190314">
    <w:abstractNumId w:val="16"/>
  </w:num>
  <w:num w:numId="14" w16cid:durableId="2070103299">
    <w:abstractNumId w:val="20"/>
  </w:num>
  <w:num w:numId="15" w16cid:durableId="1748500887">
    <w:abstractNumId w:val="12"/>
  </w:num>
  <w:num w:numId="16" w16cid:durableId="1219631652">
    <w:abstractNumId w:val="3"/>
  </w:num>
  <w:num w:numId="17" w16cid:durableId="46999056">
    <w:abstractNumId w:val="1"/>
  </w:num>
  <w:num w:numId="18" w16cid:durableId="2064522599">
    <w:abstractNumId w:val="19"/>
  </w:num>
  <w:num w:numId="19" w16cid:durableId="1259945294">
    <w:abstractNumId w:val="2"/>
  </w:num>
  <w:num w:numId="20" w16cid:durableId="1429234409">
    <w:abstractNumId w:val="0"/>
  </w:num>
  <w:num w:numId="21" w16cid:durableId="333805223">
    <w:abstractNumId w:val="8"/>
  </w:num>
  <w:num w:numId="22" w16cid:durableId="484249927">
    <w:abstractNumId w:val="10"/>
  </w:num>
  <w:num w:numId="23" w16cid:durableId="6768824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02"/>
    <w:rsid w:val="0006670A"/>
    <w:rsid w:val="000A1B23"/>
    <w:rsid w:val="000C4926"/>
    <w:rsid w:val="001868AD"/>
    <w:rsid w:val="00221EFF"/>
    <w:rsid w:val="00234327"/>
    <w:rsid w:val="00277EB0"/>
    <w:rsid w:val="002C3303"/>
    <w:rsid w:val="0035404C"/>
    <w:rsid w:val="00376CB5"/>
    <w:rsid w:val="003B666B"/>
    <w:rsid w:val="003E42B8"/>
    <w:rsid w:val="00404650"/>
    <w:rsid w:val="00404C79"/>
    <w:rsid w:val="004A0619"/>
    <w:rsid w:val="004C1B22"/>
    <w:rsid w:val="004C461F"/>
    <w:rsid w:val="004E4C1B"/>
    <w:rsid w:val="00596EE2"/>
    <w:rsid w:val="005B1D34"/>
    <w:rsid w:val="00654CDC"/>
    <w:rsid w:val="006633FB"/>
    <w:rsid w:val="00766B0E"/>
    <w:rsid w:val="007B6265"/>
    <w:rsid w:val="007D594B"/>
    <w:rsid w:val="007E5496"/>
    <w:rsid w:val="00811572"/>
    <w:rsid w:val="00821829"/>
    <w:rsid w:val="00894699"/>
    <w:rsid w:val="00924BC0"/>
    <w:rsid w:val="00941EBA"/>
    <w:rsid w:val="00944AEA"/>
    <w:rsid w:val="009B5093"/>
    <w:rsid w:val="00A04DC6"/>
    <w:rsid w:val="00B03E95"/>
    <w:rsid w:val="00B8324B"/>
    <w:rsid w:val="00B85EA4"/>
    <w:rsid w:val="00B9259C"/>
    <w:rsid w:val="00BA3AA7"/>
    <w:rsid w:val="00C32F88"/>
    <w:rsid w:val="00CA15F3"/>
    <w:rsid w:val="00D34949"/>
    <w:rsid w:val="00DB41E6"/>
    <w:rsid w:val="00DD6702"/>
    <w:rsid w:val="00DE7896"/>
    <w:rsid w:val="00E13108"/>
    <w:rsid w:val="00E225F3"/>
    <w:rsid w:val="00FB3629"/>
    <w:rsid w:val="0D0B4A69"/>
    <w:rsid w:val="47D80B50"/>
    <w:rsid w:val="7C7DF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BBB7A"/>
  <w15:chartTrackingRefBased/>
  <w15:docId w15:val="{A714EDA1-A664-4E8D-BB32-0CF68B63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6702"/>
  </w:style>
  <w:style w:type="paragraph" w:styleId="Heading1">
    <w:name w:val="heading 1"/>
    <w:basedOn w:val="Normal"/>
    <w:next w:val="Normal"/>
    <w:link w:val="Heading1Char"/>
    <w:uiPriority w:val="9"/>
    <w:qFormat/>
    <w:rsid w:val="00DD670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70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D670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D670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D670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D670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D670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D670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D670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D670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D6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70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D670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D6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70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D6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7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70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D67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7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670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D6702"/>
  </w:style>
  <w:style w:type="paragraph" w:styleId="Footer">
    <w:name w:val="footer"/>
    <w:basedOn w:val="Normal"/>
    <w:link w:val="FooterChar"/>
    <w:uiPriority w:val="99"/>
    <w:unhideWhenUsed/>
    <w:rsid w:val="00DD670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D6702"/>
  </w:style>
  <w:style w:type="table" w:styleId="TableGrid">
    <w:name w:val="Table Grid"/>
    <w:basedOn w:val="TableNormal"/>
    <w:uiPriority w:val="59"/>
    <w:rsid w:val="00DD67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2071-c6c4-464f-8c96-18aff6ebc40b" xsi:nil="true"/>
    <lcf76f155ced4ddcb4097134ff3c332f xmlns="23caca1d-ba23-4a32-9fc1-524a588733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2D1B82B13DE438A2D1144CB04CAD0" ma:contentTypeVersion="16" ma:contentTypeDescription="Create a new document." ma:contentTypeScope="" ma:versionID="c628e396de472ff9ac00cd8ac12b4ffe">
  <xsd:schema xmlns:xsd="http://www.w3.org/2001/XMLSchema" xmlns:xs="http://www.w3.org/2001/XMLSchema" xmlns:p="http://schemas.microsoft.com/office/2006/metadata/properties" xmlns:ns2="23caca1d-ba23-4a32-9fc1-524a5887339f" xmlns:ns3="eeb02071-c6c4-464f-8c96-18aff6ebc40b" targetNamespace="http://schemas.microsoft.com/office/2006/metadata/properties" ma:root="true" ma:fieldsID="71a316074c3c35cb6f9de3a2d050d6e5" ns2:_="" ns3:_="">
    <xsd:import namespace="23caca1d-ba23-4a32-9fc1-524a5887339f"/>
    <xsd:import namespace="eeb02071-c6c4-464f-8c96-18aff6ebc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ca1d-ba23-4a32-9fc1-524a5887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fa2b7e-921a-4024-8077-4c46288a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2071-c6c4-464f-8c96-18aff6eb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7cce15-61f6-44be-b04b-7541b7c09a28}" ma:internalName="TaxCatchAll" ma:showField="CatchAllData" ma:web="eeb02071-c6c4-464f-8c96-18aff6ebc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FF1E40-CC21-463D-887B-D5E234B79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B3155-655B-4362-AA11-E1EC078C17A4}">
  <ds:schemaRefs>
    <ds:schemaRef ds:uri="http://schemas.microsoft.com/office/2006/metadata/properties"/>
    <ds:schemaRef ds:uri="http://schemas.microsoft.com/office/infopath/2007/PartnerControls"/>
    <ds:schemaRef ds:uri="4450dfb5-0075-48d7-b1c5-f913c101e4f1"/>
    <ds:schemaRef ds:uri="8438084b-e005-4a8b-ad58-f27396e5ccc5"/>
  </ds:schemaRefs>
</ds:datastoreItem>
</file>

<file path=customXml/itemProps3.xml><?xml version="1.0" encoding="utf-8"?>
<ds:datastoreItem xmlns:ds="http://schemas.openxmlformats.org/officeDocument/2006/customXml" ds:itemID="{693D746E-64EC-4833-A9A0-A6429A39D1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Tertia Turner</dc:creator>
  <cp:keywords/>
  <dc:description/>
  <cp:lastModifiedBy>Tertia Turner</cp:lastModifiedBy>
  <cp:revision>41</cp:revision>
  <dcterms:created xsi:type="dcterms:W3CDTF">2025-08-08T10:47:00Z</dcterms:created>
  <dcterms:modified xsi:type="dcterms:W3CDTF">2026-06-16T10:52:59Z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0x0101005DB2D1B82B13DE438A2D1144CB04CAD0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