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0985" w14:textId="77777777" w:rsidR="006022C5" w:rsidRPr="00517542" w:rsidRDefault="006022C5" w:rsidP="00C367E3">
      <w:pPr>
        <w:rPr>
          <w:b/>
          <w:sz w:val="28"/>
        </w:rPr>
      </w:pPr>
      <w:r w:rsidRPr="00517542">
        <w:rPr>
          <w:b/>
          <w:sz w:val="28"/>
        </w:rPr>
        <w:t>Conflict of Interest Policy</w:t>
      </w:r>
    </w:p>
    <w:p w14:paraId="16FE0986" w14:textId="77777777" w:rsidR="00C367E3" w:rsidRPr="006022C5" w:rsidRDefault="00C367E3" w:rsidP="00C367E3">
      <w:pPr>
        <w:pStyle w:val="Heading2"/>
        <w:keepNext w:val="0"/>
        <w:keepLines w:val="0"/>
        <w:spacing w:after="80"/>
        <w:rPr>
          <w:rFonts w:asciiTheme="minorHAnsi" w:hAnsiTheme="minorHAnsi" w:cstheme="minorHAnsi"/>
          <w:b/>
          <w:sz w:val="24"/>
          <w:szCs w:val="34"/>
        </w:rPr>
      </w:pPr>
      <w:bookmarkStart w:id="0" w:name="_p33fdle3iqyy" w:colFirst="0" w:colLast="0"/>
      <w:bookmarkEnd w:id="0"/>
      <w:r w:rsidRPr="006022C5">
        <w:rPr>
          <w:rFonts w:asciiTheme="minorHAnsi" w:hAnsiTheme="minorHAnsi" w:cstheme="minorHAnsi"/>
          <w:b/>
          <w:sz w:val="24"/>
          <w:szCs w:val="34"/>
        </w:rPr>
        <w:t>Policy brief &amp; purpose</w:t>
      </w:r>
    </w:p>
    <w:p w14:paraId="16FE0987" w14:textId="158DC109" w:rsidR="00C367E3" w:rsidRPr="006022C5" w:rsidRDefault="006022C5" w:rsidP="00C367E3">
      <w:pPr>
        <w:spacing w:before="24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Tutorial Foundation </w:t>
      </w:r>
      <w:r w:rsidRPr="006022C5">
        <w:rPr>
          <w:rFonts w:asciiTheme="minorHAnsi" w:hAnsiTheme="minorHAnsi" w:cstheme="minorHAnsi"/>
        </w:rPr>
        <w:t>Conflict</w:t>
      </w:r>
      <w:r w:rsidR="00C367E3" w:rsidRPr="006022C5">
        <w:rPr>
          <w:rFonts w:asciiTheme="minorHAnsi" w:hAnsiTheme="minorHAnsi" w:cstheme="minorHAnsi"/>
        </w:rPr>
        <w:t xml:space="preserve"> of Interest Policy</w:t>
      </w:r>
      <w:r w:rsidR="00C367E3" w:rsidRPr="006022C5">
        <w:rPr>
          <w:rFonts w:asciiTheme="minorHAnsi" w:hAnsiTheme="minorHAnsi" w:cstheme="minorHAnsi"/>
          <w:b/>
        </w:rPr>
        <w:t xml:space="preserve"> </w:t>
      </w:r>
      <w:r w:rsidR="004D26A3">
        <w:rPr>
          <w:rFonts w:asciiTheme="minorHAnsi" w:hAnsiTheme="minorHAnsi" w:cstheme="minorHAnsi"/>
        </w:rPr>
        <w:t>refers to any situation</w:t>
      </w:r>
      <w:r w:rsidR="00C367E3" w:rsidRPr="006022C5">
        <w:rPr>
          <w:rFonts w:asciiTheme="minorHAnsi" w:hAnsiTheme="minorHAnsi" w:cstheme="minorHAnsi"/>
        </w:rPr>
        <w:t xml:space="preserve"> where an employee’s personal interest migh</w:t>
      </w:r>
      <w:r w:rsidR="00AA2F36">
        <w:rPr>
          <w:rFonts w:asciiTheme="minorHAnsi" w:hAnsiTheme="minorHAnsi" w:cstheme="minorHAnsi"/>
        </w:rPr>
        <w:t xml:space="preserve">t contradict </w:t>
      </w:r>
      <w:r w:rsidR="004D26A3">
        <w:rPr>
          <w:rFonts w:asciiTheme="minorHAnsi" w:hAnsiTheme="minorHAnsi" w:cstheme="minorHAnsi"/>
        </w:rPr>
        <w:t xml:space="preserve">or conflict with </w:t>
      </w:r>
      <w:r w:rsidR="00AA2F36">
        <w:rPr>
          <w:rFonts w:asciiTheme="minorHAnsi" w:hAnsiTheme="minorHAnsi" w:cstheme="minorHAnsi"/>
        </w:rPr>
        <w:t>the interest</w:t>
      </w:r>
      <w:r w:rsidR="004D26A3">
        <w:rPr>
          <w:rFonts w:asciiTheme="minorHAnsi" w:hAnsiTheme="minorHAnsi" w:cstheme="minorHAnsi"/>
        </w:rPr>
        <w:t>s</w:t>
      </w:r>
      <w:r w:rsidR="00AA2F36">
        <w:rPr>
          <w:rFonts w:asciiTheme="minorHAnsi" w:hAnsiTheme="minorHAnsi" w:cstheme="minorHAnsi"/>
        </w:rPr>
        <w:t xml:space="preserve"> of The Tutorial Foundation</w:t>
      </w:r>
      <w:r w:rsidR="00C367E3" w:rsidRPr="006022C5">
        <w:rPr>
          <w:rFonts w:asciiTheme="minorHAnsi" w:hAnsiTheme="minorHAnsi" w:cstheme="minorHAnsi"/>
        </w:rPr>
        <w:t xml:space="preserve">. This is an unwanted circumstance as it may have heavy implications on the employee’s judgement and commitment to </w:t>
      </w:r>
      <w:r w:rsidR="000134B7">
        <w:rPr>
          <w:rFonts w:asciiTheme="minorHAnsi" w:hAnsiTheme="minorHAnsi" w:cstheme="minorHAnsi"/>
        </w:rPr>
        <w:t>The Tutorial Foundation</w:t>
      </w:r>
      <w:r w:rsidR="00C367E3" w:rsidRPr="006022C5">
        <w:rPr>
          <w:rFonts w:asciiTheme="minorHAnsi" w:hAnsiTheme="minorHAnsi" w:cstheme="minorHAnsi"/>
        </w:rPr>
        <w:t xml:space="preserve">, and by extension to the </w:t>
      </w:r>
      <w:proofErr w:type="spellStart"/>
      <w:r w:rsidR="00C367E3" w:rsidRPr="006022C5">
        <w:rPr>
          <w:rFonts w:asciiTheme="minorHAnsi" w:hAnsiTheme="minorHAnsi" w:cstheme="minorHAnsi"/>
        </w:rPr>
        <w:t>reali</w:t>
      </w:r>
      <w:r w:rsidR="008351B4">
        <w:rPr>
          <w:rFonts w:asciiTheme="minorHAnsi" w:hAnsiTheme="minorHAnsi" w:cstheme="minorHAnsi"/>
        </w:rPr>
        <w:t>s</w:t>
      </w:r>
      <w:r w:rsidR="00C367E3" w:rsidRPr="006022C5">
        <w:rPr>
          <w:rFonts w:asciiTheme="minorHAnsi" w:hAnsiTheme="minorHAnsi" w:cstheme="minorHAnsi"/>
        </w:rPr>
        <w:t>ation</w:t>
      </w:r>
      <w:proofErr w:type="spellEnd"/>
      <w:r w:rsidR="00C367E3" w:rsidRPr="006022C5">
        <w:rPr>
          <w:rFonts w:asciiTheme="minorHAnsi" w:hAnsiTheme="minorHAnsi" w:cstheme="minorHAnsi"/>
        </w:rPr>
        <w:t xml:space="preserve"> of its goals.</w:t>
      </w:r>
    </w:p>
    <w:p w14:paraId="16FE0988" w14:textId="77777777" w:rsidR="00C367E3" w:rsidRPr="006022C5" w:rsidRDefault="00C367E3" w:rsidP="00C367E3">
      <w:pPr>
        <w:spacing w:before="240" w:after="240"/>
        <w:rPr>
          <w:rFonts w:asciiTheme="minorHAnsi" w:hAnsiTheme="minorHAnsi" w:cstheme="minorHAnsi"/>
        </w:rPr>
      </w:pPr>
      <w:r w:rsidRPr="006022C5">
        <w:rPr>
          <w:rFonts w:asciiTheme="minorHAnsi" w:hAnsiTheme="minorHAnsi" w:cstheme="minorHAnsi"/>
        </w:rPr>
        <w:t>This policy outline</w:t>
      </w:r>
      <w:r w:rsidR="004D26A3">
        <w:rPr>
          <w:rFonts w:asciiTheme="minorHAnsi" w:hAnsiTheme="minorHAnsi" w:cstheme="minorHAnsi"/>
        </w:rPr>
        <w:t>s</w:t>
      </w:r>
      <w:r w:rsidRPr="006022C5">
        <w:rPr>
          <w:rFonts w:asciiTheme="minorHAnsi" w:hAnsiTheme="minorHAnsi" w:cstheme="minorHAnsi"/>
        </w:rPr>
        <w:t xml:space="preserve"> the rules regarding conflict</w:t>
      </w:r>
      <w:r w:rsidR="004D26A3">
        <w:rPr>
          <w:rFonts w:asciiTheme="minorHAnsi" w:hAnsiTheme="minorHAnsi" w:cstheme="minorHAnsi"/>
        </w:rPr>
        <w:t>s</w:t>
      </w:r>
      <w:r w:rsidRPr="006022C5">
        <w:rPr>
          <w:rFonts w:asciiTheme="minorHAnsi" w:hAnsiTheme="minorHAnsi" w:cstheme="minorHAnsi"/>
        </w:rPr>
        <w:t xml:space="preserve"> of interest and the responsibilities of employees and </w:t>
      </w:r>
      <w:r w:rsidR="00517542">
        <w:rPr>
          <w:rFonts w:asciiTheme="minorHAnsi" w:hAnsiTheme="minorHAnsi" w:cstheme="minorHAnsi"/>
        </w:rPr>
        <w:t xml:space="preserve">The Tutorial Foundation </w:t>
      </w:r>
      <w:r w:rsidRPr="006022C5">
        <w:rPr>
          <w:rFonts w:asciiTheme="minorHAnsi" w:hAnsiTheme="minorHAnsi" w:cstheme="minorHAnsi"/>
        </w:rPr>
        <w:t>in resolving any such discrepancies.</w:t>
      </w:r>
    </w:p>
    <w:p w14:paraId="16FE0989" w14:textId="77777777" w:rsidR="00C367E3" w:rsidRPr="00AA2F36" w:rsidRDefault="00C367E3" w:rsidP="00C367E3">
      <w:pPr>
        <w:pStyle w:val="Heading2"/>
        <w:keepNext w:val="0"/>
        <w:keepLines w:val="0"/>
        <w:spacing w:after="80"/>
        <w:rPr>
          <w:rFonts w:asciiTheme="minorHAnsi" w:hAnsiTheme="minorHAnsi" w:cstheme="minorHAnsi"/>
          <w:b/>
          <w:sz w:val="24"/>
          <w:szCs w:val="34"/>
        </w:rPr>
      </w:pPr>
      <w:bookmarkStart w:id="1" w:name="_m507yoi61l41" w:colFirst="0" w:colLast="0"/>
      <w:bookmarkEnd w:id="1"/>
      <w:r w:rsidRPr="00AA2F36">
        <w:rPr>
          <w:rFonts w:asciiTheme="minorHAnsi" w:hAnsiTheme="minorHAnsi" w:cstheme="minorHAnsi"/>
          <w:b/>
          <w:sz w:val="24"/>
          <w:szCs w:val="34"/>
        </w:rPr>
        <w:t>Scope</w:t>
      </w:r>
    </w:p>
    <w:p w14:paraId="16FE098A" w14:textId="77777777" w:rsidR="00C367E3" w:rsidRDefault="00517542" w:rsidP="00C367E3">
      <w:pPr>
        <w:spacing w:before="24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Tutorial Foundation</w:t>
      </w:r>
      <w:r w:rsidR="004D26A3">
        <w:rPr>
          <w:rFonts w:asciiTheme="minorHAnsi" w:hAnsiTheme="minorHAnsi" w:cstheme="minorHAnsi"/>
        </w:rPr>
        <w:t xml:space="preserve"> Conflict of Interest P</w:t>
      </w:r>
      <w:r w:rsidR="00C367E3" w:rsidRPr="006022C5">
        <w:rPr>
          <w:rFonts w:asciiTheme="minorHAnsi" w:hAnsiTheme="minorHAnsi" w:cstheme="minorHAnsi"/>
        </w:rPr>
        <w:t>olicy applies to all current</w:t>
      </w:r>
      <w:r w:rsidR="004D26A3">
        <w:rPr>
          <w:rFonts w:asciiTheme="minorHAnsi" w:hAnsiTheme="minorHAnsi" w:cstheme="minorHAnsi"/>
        </w:rPr>
        <w:t xml:space="preserve"> or prospective</w:t>
      </w:r>
      <w:r w:rsidR="00C367E3" w:rsidRPr="006022C5">
        <w:rPr>
          <w:rFonts w:asciiTheme="minorHAnsi" w:hAnsiTheme="minorHAnsi" w:cstheme="minorHAnsi"/>
        </w:rPr>
        <w:t xml:space="preserve"> employees of </w:t>
      </w:r>
      <w:r>
        <w:rPr>
          <w:rFonts w:asciiTheme="minorHAnsi" w:hAnsiTheme="minorHAnsi" w:cstheme="minorHAnsi"/>
        </w:rPr>
        <w:t>The Tutorial Foundation</w:t>
      </w:r>
      <w:r w:rsidR="00C367E3" w:rsidRPr="006022C5">
        <w:rPr>
          <w:rFonts w:asciiTheme="minorHAnsi" w:hAnsiTheme="minorHAnsi" w:cstheme="minorHAnsi"/>
        </w:rPr>
        <w:t xml:space="preserve">, as well as independent contractors and persons acting on behalf of the </w:t>
      </w:r>
      <w:r>
        <w:rPr>
          <w:rFonts w:asciiTheme="minorHAnsi" w:hAnsiTheme="minorHAnsi" w:cstheme="minorHAnsi"/>
        </w:rPr>
        <w:t>school</w:t>
      </w:r>
      <w:r w:rsidR="004D26A3">
        <w:rPr>
          <w:rFonts w:asciiTheme="minorHAnsi" w:hAnsiTheme="minorHAnsi" w:cstheme="minorHAnsi"/>
        </w:rPr>
        <w:t xml:space="preserve"> including members of the Advisory Board.</w:t>
      </w:r>
    </w:p>
    <w:p w14:paraId="16FE098B" w14:textId="77777777" w:rsidR="004D26A3" w:rsidRDefault="004D26A3" w:rsidP="00C367E3">
      <w:pPr>
        <w:spacing w:before="24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</w:t>
      </w:r>
      <w:proofErr w:type="gramStart"/>
      <w:r>
        <w:rPr>
          <w:rFonts w:asciiTheme="minorHAnsi" w:hAnsiTheme="minorHAnsi" w:cstheme="minorHAnsi"/>
        </w:rPr>
        <w:t>aforementioned employees</w:t>
      </w:r>
      <w:proofErr w:type="gramEnd"/>
      <w:r>
        <w:rPr>
          <w:rFonts w:asciiTheme="minorHAnsi" w:hAnsiTheme="minorHAnsi" w:cstheme="minorHAnsi"/>
        </w:rPr>
        <w:t xml:space="preserve"> are to confirm in writing on an annual basis that they have read this policy and comply with </w:t>
      </w:r>
      <w:proofErr w:type="gramStart"/>
      <w:r>
        <w:rPr>
          <w:rFonts w:asciiTheme="minorHAnsi" w:hAnsiTheme="minorHAnsi" w:cstheme="minorHAnsi"/>
        </w:rPr>
        <w:t>its</w:t>
      </w:r>
      <w:proofErr w:type="gramEnd"/>
      <w:r>
        <w:rPr>
          <w:rFonts w:asciiTheme="minorHAnsi" w:hAnsiTheme="minorHAnsi" w:cstheme="minorHAnsi"/>
        </w:rPr>
        <w:t xml:space="preserve"> requirements.</w:t>
      </w:r>
    </w:p>
    <w:p w14:paraId="16FE098C" w14:textId="77777777" w:rsidR="004D26A3" w:rsidRPr="006022C5" w:rsidRDefault="004D26A3" w:rsidP="00C367E3">
      <w:pPr>
        <w:spacing w:before="24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Advisory Board members are prohibited from voting on occasions where they have or disclose a conflict of interest.</w:t>
      </w:r>
    </w:p>
    <w:p w14:paraId="16FE098D" w14:textId="77777777" w:rsidR="00C367E3" w:rsidRPr="00AA2F36" w:rsidRDefault="00C367E3" w:rsidP="00C367E3">
      <w:pPr>
        <w:pStyle w:val="Heading2"/>
        <w:keepNext w:val="0"/>
        <w:keepLines w:val="0"/>
        <w:spacing w:after="80"/>
        <w:rPr>
          <w:rFonts w:asciiTheme="minorHAnsi" w:hAnsiTheme="minorHAnsi" w:cstheme="minorHAnsi"/>
          <w:b/>
          <w:sz w:val="24"/>
          <w:szCs w:val="34"/>
        </w:rPr>
      </w:pPr>
      <w:bookmarkStart w:id="2" w:name="_iugp6sik9cu" w:colFirst="0" w:colLast="0"/>
      <w:bookmarkEnd w:id="2"/>
      <w:r w:rsidRPr="00AA2F36">
        <w:rPr>
          <w:rFonts w:asciiTheme="minorHAnsi" w:hAnsiTheme="minorHAnsi" w:cstheme="minorHAnsi"/>
          <w:b/>
          <w:sz w:val="24"/>
          <w:szCs w:val="34"/>
        </w:rPr>
        <w:t>Policy elements</w:t>
      </w:r>
    </w:p>
    <w:p w14:paraId="16FE098E" w14:textId="77777777" w:rsidR="00C367E3" w:rsidRPr="006022C5" w:rsidRDefault="00C367E3" w:rsidP="00C367E3">
      <w:pPr>
        <w:spacing w:before="240" w:after="240"/>
        <w:rPr>
          <w:rFonts w:asciiTheme="minorHAnsi" w:hAnsiTheme="minorHAnsi" w:cstheme="minorHAnsi"/>
        </w:rPr>
      </w:pPr>
      <w:r w:rsidRPr="006022C5">
        <w:rPr>
          <w:rFonts w:asciiTheme="minorHAnsi" w:hAnsiTheme="minorHAnsi" w:cstheme="minorHAnsi"/>
        </w:rPr>
        <w:t xml:space="preserve">The relationship of </w:t>
      </w:r>
      <w:r w:rsidR="00517542">
        <w:rPr>
          <w:rFonts w:asciiTheme="minorHAnsi" w:hAnsiTheme="minorHAnsi" w:cstheme="minorHAnsi"/>
        </w:rPr>
        <w:t>The Tutorial Foundation</w:t>
      </w:r>
      <w:r w:rsidRPr="006022C5">
        <w:rPr>
          <w:rFonts w:asciiTheme="minorHAnsi" w:hAnsiTheme="minorHAnsi" w:cstheme="minorHAnsi"/>
        </w:rPr>
        <w:t xml:space="preserve"> with its employees </w:t>
      </w:r>
      <w:r w:rsidR="004D26A3">
        <w:rPr>
          <w:rFonts w:asciiTheme="minorHAnsi" w:hAnsiTheme="minorHAnsi" w:cstheme="minorHAnsi"/>
        </w:rPr>
        <w:t>is</w:t>
      </w:r>
      <w:r w:rsidRPr="006022C5">
        <w:rPr>
          <w:rFonts w:asciiTheme="minorHAnsi" w:hAnsiTheme="minorHAnsi" w:cstheme="minorHAnsi"/>
        </w:rPr>
        <w:t xml:space="preserve"> based on mutual trust. As </w:t>
      </w:r>
      <w:r w:rsidR="004D26A3">
        <w:rPr>
          <w:rFonts w:asciiTheme="minorHAnsi" w:hAnsiTheme="minorHAnsi" w:cstheme="minorHAnsi"/>
        </w:rPr>
        <w:t>The Tutorial Foundation is committed to preserving</w:t>
      </w:r>
      <w:r w:rsidRPr="006022C5">
        <w:rPr>
          <w:rFonts w:asciiTheme="minorHAnsi" w:hAnsiTheme="minorHAnsi" w:cstheme="minorHAnsi"/>
        </w:rPr>
        <w:t xml:space="preserve"> the interests of </w:t>
      </w:r>
      <w:r w:rsidR="004D26A3">
        <w:rPr>
          <w:rFonts w:asciiTheme="minorHAnsi" w:hAnsiTheme="minorHAnsi" w:cstheme="minorHAnsi"/>
        </w:rPr>
        <w:t>its business including clients and employees</w:t>
      </w:r>
      <w:r w:rsidRPr="006022C5">
        <w:rPr>
          <w:rFonts w:asciiTheme="minorHAnsi" w:hAnsiTheme="minorHAnsi" w:cstheme="minorHAnsi"/>
        </w:rPr>
        <w:t xml:space="preserve">, it expects </w:t>
      </w:r>
      <w:r w:rsidR="004D26A3">
        <w:rPr>
          <w:rFonts w:asciiTheme="minorHAnsi" w:hAnsiTheme="minorHAnsi" w:cstheme="minorHAnsi"/>
        </w:rPr>
        <w:t>employees, including contractors and Advisory Board members</w:t>
      </w:r>
      <w:r w:rsidRPr="006022C5">
        <w:rPr>
          <w:rFonts w:asciiTheme="minorHAnsi" w:hAnsiTheme="minorHAnsi" w:cstheme="minorHAnsi"/>
        </w:rPr>
        <w:t xml:space="preserve"> to act </w:t>
      </w:r>
      <w:r w:rsidR="004D26A3">
        <w:rPr>
          <w:rFonts w:asciiTheme="minorHAnsi" w:hAnsiTheme="minorHAnsi" w:cstheme="minorHAnsi"/>
        </w:rPr>
        <w:t>in The Tutorial Foundation’s interests and to declare if they have a conflict or potential conflict.</w:t>
      </w:r>
    </w:p>
    <w:p w14:paraId="16FE098F" w14:textId="77777777" w:rsidR="00C367E3" w:rsidRPr="00AA2F36" w:rsidRDefault="004D26A3" w:rsidP="00C367E3">
      <w:pPr>
        <w:spacing w:before="240" w:after="2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 xml:space="preserve">A </w:t>
      </w:r>
      <w:r w:rsidR="00392239">
        <w:rPr>
          <w:rFonts w:asciiTheme="minorHAnsi" w:hAnsiTheme="minorHAnsi" w:cstheme="minorHAnsi"/>
        </w:rPr>
        <w:t>Conflict of I</w:t>
      </w:r>
      <w:r w:rsidR="00C367E3" w:rsidRPr="006022C5">
        <w:rPr>
          <w:rFonts w:asciiTheme="minorHAnsi" w:hAnsiTheme="minorHAnsi" w:cstheme="minorHAnsi"/>
        </w:rPr>
        <w:t xml:space="preserve">nterest may occur whenever an employee’s interest in a particular subject </w:t>
      </w:r>
      <w:r>
        <w:rPr>
          <w:rFonts w:asciiTheme="minorHAnsi" w:hAnsiTheme="minorHAnsi" w:cstheme="minorHAnsi"/>
        </w:rPr>
        <w:t xml:space="preserve">is at variance with the interests of The Tutorial Foundation and </w:t>
      </w:r>
      <w:r w:rsidR="00C367E3" w:rsidRPr="006022C5">
        <w:rPr>
          <w:rFonts w:asciiTheme="minorHAnsi" w:hAnsiTheme="minorHAnsi" w:cstheme="minorHAnsi"/>
        </w:rPr>
        <w:t xml:space="preserve">may lead </w:t>
      </w:r>
      <w:r>
        <w:rPr>
          <w:rFonts w:asciiTheme="minorHAnsi" w:hAnsiTheme="minorHAnsi" w:cstheme="minorHAnsi"/>
        </w:rPr>
        <w:t>employees in</w:t>
      </w:r>
      <w:r w:rsidR="00C367E3" w:rsidRPr="006022C5">
        <w:rPr>
          <w:rFonts w:asciiTheme="minorHAnsi" w:hAnsiTheme="minorHAnsi" w:cstheme="minorHAnsi"/>
        </w:rPr>
        <w:t xml:space="preserve">to actions, activities or relationships that undermine </w:t>
      </w:r>
      <w:r>
        <w:rPr>
          <w:rFonts w:asciiTheme="minorHAnsi" w:hAnsiTheme="minorHAnsi" w:cstheme="minorHAnsi"/>
        </w:rPr>
        <w:t>the business of The Tutorial Foundation</w:t>
      </w:r>
      <w:r w:rsidR="00C367E3" w:rsidRPr="006022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which</w:t>
      </w:r>
      <w:r w:rsidR="00C367E3" w:rsidRPr="006022C5">
        <w:rPr>
          <w:rFonts w:asciiTheme="minorHAnsi" w:hAnsiTheme="minorHAnsi" w:cstheme="minorHAnsi"/>
        </w:rPr>
        <w:t xml:space="preserve"> place it </w:t>
      </w:r>
      <w:r>
        <w:rPr>
          <w:rFonts w:asciiTheme="minorHAnsi" w:hAnsiTheme="minorHAnsi" w:cstheme="minorHAnsi"/>
        </w:rPr>
        <w:t>at a disadvantage or damage its reputation.</w:t>
      </w:r>
    </w:p>
    <w:p w14:paraId="16FE0990" w14:textId="77777777" w:rsidR="00C367E3" w:rsidRPr="00AA2F36" w:rsidRDefault="00C367E3" w:rsidP="00C367E3">
      <w:pPr>
        <w:pStyle w:val="Heading3"/>
        <w:keepNext w:val="0"/>
        <w:keepLines w:val="0"/>
        <w:spacing w:before="280"/>
        <w:rPr>
          <w:rFonts w:asciiTheme="minorHAnsi" w:hAnsiTheme="minorHAnsi" w:cstheme="minorHAnsi"/>
          <w:b/>
          <w:color w:val="000000"/>
          <w:sz w:val="24"/>
          <w:szCs w:val="26"/>
        </w:rPr>
      </w:pPr>
      <w:bookmarkStart w:id="3" w:name="_x6rem9imml9s" w:colFirst="0" w:colLast="0"/>
      <w:bookmarkEnd w:id="3"/>
      <w:r w:rsidRPr="00AA2F36">
        <w:rPr>
          <w:rFonts w:asciiTheme="minorHAnsi" w:hAnsiTheme="minorHAnsi" w:cstheme="minorHAnsi"/>
          <w:b/>
          <w:color w:val="000000"/>
          <w:sz w:val="24"/>
          <w:szCs w:val="26"/>
        </w:rPr>
        <w:t>What is a conflict of interest?</w:t>
      </w:r>
    </w:p>
    <w:p w14:paraId="16FE0991" w14:textId="77777777" w:rsidR="00C367E3" w:rsidRPr="006022C5" w:rsidRDefault="00B95541" w:rsidP="00C367E3">
      <w:pPr>
        <w:spacing w:before="24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conflict of interest may take many different forms, which </w:t>
      </w:r>
      <w:r w:rsidR="00C367E3" w:rsidRPr="006022C5">
        <w:rPr>
          <w:rFonts w:asciiTheme="minorHAnsi" w:hAnsiTheme="minorHAnsi" w:cstheme="minorHAnsi"/>
        </w:rPr>
        <w:t xml:space="preserve">include, but are not limited to, </w:t>
      </w:r>
      <w:r>
        <w:rPr>
          <w:rFonts w:asciiTheme="minorHAnsi" w:hAnsiTheme="minorHAnsi" w:cstheme="minorHAnsi"/>
        </w:rPr>
        <w:t xml:space="preserve">the following: </w:t>
      </w:r>
    </w:p>
    <w:p w14:paraId="16FE0992" w14:textId="77777777" w:rsidR="00C367E3" w:rsidRPr="006022C5" w:rsidRDefault="00C367E3" w:rsidP="00C367E3">
      <w:pPr>
        <w:numPr>
          <w:ilvl w:val="0"/>
          <w:numId w:val="1"/>
        </w:numPr>
        <w:spacing w:before="240"/>
        <w:rPr>
          <w:rFonts w:asciiTheme="minorHAnsi" w:hAnsiTheme="minorHAnsi" w:cstheme="minorHAnsi"/>
        </w:rPr>
      </w:pPr>
      <w:r w:rsidRPr="006022C5">
        <w:rPr>
          <w:rFonts w:asciiTheme="minorHAnsi" w:hAnsiTheme="minorHAnsi" w:cstheme="minorHAnsi"/>
        </w:rPr>
        <w:t xml:space="preserve">Employees’ </w:t>
      </w:r>
      <w:r w:rsidR="00B95541">
        <w:rPr>
          <w:rFonts w:asciiTheme="minorHAnsi" w:hAnsiTheme="minorHAnsi" w:cstheme="minorHAnsi"/>
        </w:rPr>
        <w:t>using</w:t>
      </w:r>
      <w:r w:rsidRPr="006022C5">
        <w:rPr>
          <w:rFonts w:asciiTheme="minorHAnsi" w:hAnsiTheme="minorHAnsi" w:cstheme="minorHAnsi"/>
        </w:rPr>
        <w:t xml:space="preserve"> their position with </w:t>
      </w:r>
      <w:r w:rsidR="00517542">
        <w:rPr>
          <w:rFonts w:asciiTheme="minorHAnsi" w:hAnsiTheme="minorHAnsi" w:cstheme="minorHAnsi"/>
        </w:rPr>
        <w:t>The Tutorial Foundation</w:t>
      </w:r>
      <w:r w:rsidRPr="006022C5">
        <w:rPr>
          <w:rFonts w:asciiTheme="minorHAnsi" w:hAnsiTheme="minorHAnsi" w:cstheme="minorHAnsi"/>
        </w:rPr>
        <w:t xml:space="preserve"> to their personal advantage</w:t>
      </w:r>
    </w:p>
    <w:p w14:paraId="16FE0993" w14:textId="77777777" w:rsidR="00C367E3" w:rsidRPr="006022C5" w:rsidRDefault="00C367E3" w:rsidP="00C367E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022C5">
        <w:rPr>
          <w:rFonts w:asciiTheme="minorHAnsi" w:hAnsiTheme="minorHAnsi" w:cstheme="minorHAnsi"/>
        </w:rPr>
        <w:t>Employees engaging in activities that will bring direct or indirect profit to a competitor</w:t>
      </w:r>
    </w:p>
    <w:p w14:paraId="16FE0994" w14:textId="77777777" w:rsidR="00C367E3" w:rsidRPr="006022C5" w:rsidRDefault="00C367E3" w:rsidP="00C367E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022C5">
        <w:rPr>
          <w:rFonts w:asciiTheme="minorHAnsi" w:hAnsiTheme="minorHAnsi" w:cstheme="minorHAnsi"/>
        </w:rPr>
        <w:t>Employees owning shares of a competitor’s stock</w:t>
      </w:r>
    </w:p>
    <w:p w14:paraId="16FE0995" w14:textId="77777777" w:rsidR="00C367E3" w:rsidRPr="006022C5" w:rsidRDefault="00C367E3" w:rsidP="00C367E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022C5">
        <w:rPr>
          <w:rFonts w:asciiTheme="minorHAnsi" w:hAnsiTheme="minorHAnsi" w:cstheme="minorHAnsi"/>
        </w:rPr>
        <w:lastRenderedPageBreak/>
        <w:t>Employees using c</w:t>
      </w:r>
      <w:r w:rsidR="00517542">
        <w:rPr>
          <w:rFonts w:asciiTheme="minorHAnsi" w:hAnsiTheme="minorHAnsi" w:cstheme="minorHAnsi"/>
        </w:rPr>
        <w:t>onnections obtained through The Tutorial Foundation</w:t>
      </w:r>
      <w:r w:rsidRPr="006022C5">
        <w:rPr>
          <w:rFonts w:asciiTheme="minorHAnsi" w:hAnsiTheme="minorHAnsi" w:cstheme="minorHAnsi"/>
        </w:rPr>
        <w:t xml:space="preserve"> for their own private purposes</w:t>
      </w:r>
    </w:p>
    <w:p w14:paraId="16FE0996" w14:textId="77777777" w:rsidR="00C367E3" w:rsidRPr="006022C5" w:rsidRDefault="00C367E3" w:rsidP="00C367E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022C5">
        <w:rPr>
          <w:rFonts w:asciiTheme="minorHAnsi" w:hAnsiTheme="minorHAnsi" w:cstheme="minorHAnsi"/>
        </w:rPr>
        <w:t xml:space="preserve">Employees using </w:t>
      </w:r>
      <w:r w:rsidR="00517542">
        <w:rPr>
          <w:rFonts w:asciiTheme="minorHAnsi" w:hAnsiTheme="minorHAnsi" w:cstheme="minorHAnsi"/>
        </w:rPr>
        <w:t>Tutorial Foundation</w:t>
      </w:r>
      <w:r w:rsidRPr="006022C5">
        <w:rPr>
          <w:rFonts w:asciiTheme="minorHAnsi" w:hAnsiTheme="minorHAnsi" w:cstheme="minorHAnsi"/>
        </w:rPr>
        <w:t xml:space="preserve"> equipment or means to support an external business</w:t>
      </w:r>
    </w:p>
    <w:p w14:paraId="16FE0997" w14:textId="77777777" w:rsidR="00C367E3" w:rsidRDefault="00C367E3" w:rsidP="00C367E3">
      <w:pPr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6022C5">
        <w:rPr>
          <w:rFonts w:asciiTheme="minorHAnsi" w:hAnsiTheme="minorHAnsi" w:cstheme="minorHAnsi"/>
        </w:rPr>
        <w:t xml:space="preserve">Employees acting in ways that may compromise </w:t>
      </w:r>
      <w:r w:rsidR="0058776F">
        <w:rPr>
          <w:rFonts w:asciiTheme="minorHAnsi" w:hAnsiTheme="minorHAnsi" w:cstheme="minorHAnsi"/>
        </w:rPr>
        <w:t>the Tutorial Foundation’s</w:t>
      </w:r>
      <w:r w:rsidRPr="006022C5">
        <w:rPr>
          <w:rFonts w:asciiTheme="minorHAnsi" w:hAnsiTheme="minorHAnsi" w:cstheme="minorHAnsi"/>
        </w:rPr>
        <w:t xml:space="preserve"> legality (e.g. taking bribes or bribing representatives of legal authorities)</w:t>
      </w:r>
    </w:p>
    <w:p w14:paraId="16FE0998" w14:textId="77777777" w:rsidR="00B95541" w:rsidRDefault="00B95541" w:rsidP="00B95541">
      <w:pPr>
        <w:spacing w:after="240"/>
        <w:ind w:left="720"/>
        <w:rPr>
          <w:rFonts w:asciiTheme="minorHAnsi" w:hAnsiTheme="minorHAnsi" w:cstheme="minorHAnsi"/>
        </w:rPr>
      </w:pPr>
    </w:p>
    <w:p w14:paraId="16FE0999" w14:textId="77777777" w:rsidR="00B95541" w:rsidRPr="00B95541" w:rsidRDefault="00B95541" w:rsidP="00B95541">
      <w:pPr>
        <w:spacing w:after="240"/>
        <w:rPr>
          <w:rFonts w:asciiTheme="minorHAnsi" w:hAnsiTheme="minorHAnsi" w:cstheme="minorHAnsi"/>
          <w:b/>
        </w:rPr>
      </w:pPr>
      <w:r w:rsidRPr="00B95541">
        <w:rPr>
          <w:rFonts w:asciiTheme="minorHAnsi" w:hAnsiTheme="minorHAnsi" w:cstheme="minorHAnsi"/>
          <w:b/>
        </w:rPr>
        <w:t>Documentation of Conflicts and Potential Conflicts of Interest</w:t>
      </w:r>
    </w:p>
    <w:p w14:paraId="16FE099A" w14:textId="77777777" w:rsidR="00C367E3" w:rsidRPr="006022C5" w:rsidRDefault="00B95541" w:rsidP="00C367E3">
      <w:pPr>
        <w:spacing w:before="24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is </w:t>
      </w:r>
      <w:proofErr w:type="gramStart"/>
      <w:r>
        <w:rPr>
          <w:rFonts w:asciiTheme="minorHAnsi" w:hAnsiTheme="minorHAnsi" w:cstheme="minorHAnsi"/>
        </w:rPr>
        <w:t>each individual’s</w:t>
      </w:r>
      <w:proofErr w:type="gramEnd"/>
      <w:r>
        <w:rPr>
          <w:rFonts w:asciiTheme="minorHAnsi" w:hAnsiTheme="minorHAnsi" w:cstheme="minorHAnsi"/>
        </w:rPr>
        <w:t xml:space="preserve"> responsibility to ensure that if a conflict of interest</w:t>
      </w:r>
      <w:r w:rsidR="00C367E3" w:rsidRPr="006022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exists details are documented and referred to management so that appropriate actions may be taken. </w:t>
      </w:r>
      <w:r w:rsidR="00F35522">
        <w:rPr>
          <w:rFonts w:asciiTheme="minorHAnsi" w:hAnsiTheme="minorHAnsi" w:cstheme="minorHAnsi"/>
        </w:rPr>
        <w:t>Line managers</w:t>
      </w:r>
      <w:r w:rsidR="00C367E3" w:rsidRPr="006022C5">
        <w:rPr>
          <w:rFonts w:asciiTheme="minorHAnsi" w:hAnsiTheme="minorHAnsi" w:cstheme="minorHAnsi"/>
        </w:rPr>
        <w:t xml:space="preserve"> must </w:t>
      </w:r>
      <w:r>
        <w:rPr>
          <w:rFonts w:asciiTheme="minorHAnsi" w:hAnsiTheme="minorHAnsi" w:cstheme="minorHAnsi"/>
        </w:rPr>
        <w:t xml:space="preserve">be aware of the </w:t>
      </w:r>
      <w:r w:rsidR="00C367E3" w:rsidRPr="006022C5">
        <w:rPr>
          <w:rFonts w:asciiTheme="minorHAnsi" w:hAnsiTheme="minorHAnsi" w:cstheme="minorHAnsi"/>
        </w:rPr>
        <w:t xml:space="preserve">potential </w:t>
      </w:r>
      <w:r>
        <w:rPr>
          <w:rFonts w:asciiTheme="minorHAnsi" w:hAnsiTheme="minorHAnsi" w:cstheme="minorHAnsi"/>
        </w:rPr>
        <w:t xml:space="preserve">for </w:t>
      </w:r>
      <w:r w:rsidR="00C367E3" w:rsidRPr="006022C5">
        <w:rPr>
          <w:rFonts w:asciiTheme="minorHAnsi" w:hAnsiTheme="minorHAnsi" w:cstheme="minorHAnsi"/>
        </w:rPr>
        <w:t>conflict of interests</w:t>
      </w:r>
      <w:r w:rsidR="00F35522">
        <w:rPr>
          <w:rFonts w:asciiTheme="minorHAnsi" w:hAnsiTheme="minorHAnsi" w:cstheme="minorHAnsi"/>
        </w:rPr>
        <w:t xml:space="preserve"> of those under their care</w:t>
      </w:r>
      <w:r w:rsidR="00C367E3" w:rsidRPr="006022C5">
        <w:rPr>
          <w:rFonts w:asciiTheme="minorHAnsi" w:hAnsiTheme="minorHAnsi" w:cstheme="minorHAnsi"/>
        </w:rPr>
        <w:t>.</w:t>
      </w:r>
    </w:p>
    <w:p w14:paraId="16FE099B" w14:textId="77777777" w:rsidR="00C367E3" w:rsidRPr="006022C5" w:rsidRDefault="00C367E3" w:rsidP="00C367E3">
      <w:pPr>
        <w:spacing w:before="240" w:after="240"/>
        <w:rPr>
          <w:rFonts w:asciiTheme="minorHAnsi" w:hAnsiTheme="minorHAnsi" w:cstheme="minorHAnsi"/>
        </w:rPr>
      </w:pPr>
      <w:r w:rsidRPr="006022C5">
        <w:rPr>
          <w:rFonts w:asciiTheme="minorHAnsi" w:hAnsiTheme="minorHAnsi" w:cstheme="minorHAnsi"/>
        </w:rPr>
        <w:t xml:space="preserve">The responsibility of resolving a conflict of interest starts </w:t>
      </w:r>
      <w:r w:rsidR="003A1B08">
        <w:rPr>
          <w:rFonts w:asciiTheme="minorHAnsi" w:hAnsiTheme="minorHAnsi" w:cstheme="minorHAnsi"/>
        </w:rPr>
        <w:t xml:space="preserve">with the individual and their </w:t>
      </w:r>
      <w:r w:rsidRPr="006022C5">
        <w:rPr>
          <w:rFonts w:asciiTheme="minorHAnsi" w:hAnsiTheme="minorHAnsi" w:cstheme="minorHAnsi"/>
        </w:rPr>
        <w:t>immediate supervisor and may</w:t>
      </w:r>
      <w:r w:rsidR="003A1B08">
        <w:rPr>
          <w:rFonts w:asciiTheme="minorHAnsi" w:hAnsiTheme="minorHAnsi" w:cstheme="minorHAnsi"/>
        </w:rPr>
        <w:t xml:space="preserve"> involve</w:t>
      </w:r>
      <w:r w:rsidRPr="006022C5">
        <w:rPr>
          <w:rFonts w:asciiTheme="minorHAnsi" w:hAnsiTheme="minorHAnsi" w:cstheme="minorHAnsi"/>
        </w:rPr>
        <w:t xml:space="preserve"> senior management. All conflicts of interest will be resolved as </w:t>
      </w:r>
      <w:proofErr w:type="gramStart"/>
      <w:r w:rsidRPr="006022C5">
        <w:rPr>
          <w:rFonts w:asciiTheme="minorHAnsi" w:hAnsiTheme="minorHAnsi" w:cstheme="minorHAnsi"/>
        </w:rPr>
        <w:t>fairly as</w:t>
      </w:r>
      <w:proofErr w:type="gramEnd"/>
      <w:r w:rsidRPr="006022C5">
        <w:rPr>
          <w:rFonts w:asciiTheme="minorHAnsi" w:hAnsiTheme="minorHAnsi" w:cstheme="minorHAnsi"/>
        </w:rPr>
        <w:t xml:space="preserve"> possible. </w:t>
      </w:r>
      <w:r w:rsidR="00DF19EF">
        <w:rPr>
          <w:rFonts w:asciiTheme="minorHAnsi" w:hAnsiTheme="minorHAnsi" w:cstheme="minorHAnsi"/>
        </w:rPr>
        <w:t xml:space="preserve">The Advisory Board </w:t>
      </w:r>
      <w:r w:rsidRPr="006022C5">
        <w:rPr>
          <w:rFonts w:asciiTheme="minorHAnsi" w:hAnsiTheme="minorHAnsi" w:cstheme="minorHAnsi"/>
        </w:rPr>
        <w:t xml:space="preserve">has the responsibility of the final decision when a solution </w:t>
      </w:r>
      <w:r w:rsidR="00F35522" w:rsidRPr="006022C5">
        <w:rPr>
          <w:rFonts w:asciiTheme="minorHAnsi" w:hAnsiTheme="minorHAnsi" w:cstheme="minorHAnsi"/>
        </w:rPr>
        <w:t>cannot</w:t>
      </w:r>
      <w:r w:rsidRPr="006022C5">
        <w:rPr>
          <w:rFonts w:asciiTheme="minorHAnsi" w:hAnsiTheme="minorHAnsi" w:cstheme="minorHAnsi"/>
        </w:rPr>
        <w:t xml:space="preserve"> be found.</w:t>
      </w:r>
    </w:p>
    <w:p w14:paraId="16FE099C" w14:textId="77777777" w:rsidR="00C367E3" w:rsidRPr="006022C5" w:rsidRDefault="00EF2A05" w:rsidP="00C367E3">
      <w:pPr>
        <w:spacing w:before="24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C367E3" w:rsidRPr="006022C5">
        <w:rPr>
          <w:rFonts w:asciiTheme="minorHAnsi" w:hAnsiTheme="minorHAnsi" w:cstheme="minorHAnsi"/>
        </w:rPr>
        <w:t xml:space="preserve">mployees are advised to </w:t>
      </w:r>
      <w:r>
        <w:rPr>
          <w:rFonts w:asciiTheme="minorHAnsi" w:hAnsiTheme="minorHAnsi" w:cstheme="minorHAnsi"/>
        </w:rPr>
        <w:t>ensure that</w:t>
      </w:r>
      <w:r w:rsidR="00C367E3" w:rsidRPr="006022C5">
        <w:rPr>
          <w:rFonts w:asciiTheme="minorHAnsi" w:hAnsiTheme="minorHAnsi" w:cstheme="minorHAnsi"/>
        </w:rPr>
        <w:t xml:space="preserve"> personal and/or financial interests and external activities </w:t>
      </w:r>
      <w:r>
        <w:rPr>
          <w:rFonts w:asciiTheme="minorHAnsi" w:hAnsiTheme="minorHAnsi" w:cstheme="minorHAnsi"/>
        </w:rPr>
        <w:t>DO NOT conflict</w:t>
      </w:r>
      <w:r w:rsidR="00C367E3" w:rsidRPr="006022C5">
        <w:rPr>
          <w:rFonts w:asciiTheme="minorHAnsi" w:hAnsiTheme="minorHAnsi" w:cstheme="minorHAnsi"/>
        </w:rPr>
        <w:t xml:space="preserve"> with </w:t>
      </w:r>
      <w:r w:rsidR="00F35522">
        <w:rPr>
          <w:rFonts w:asciiTheme="minorHAnsi" w:hAnsiTheme="minorHAnsi" w:cstheme="minorHAnsi"/>
        </w:rPr>
        <w:t>The Tutorial Foundation’s</w:t>
      </w:r>
      <w:r w:rsidR="00C367E3" w:rsidRPr="006022C5">
        <w:rPr>
          <w:rFonts w:asciiTheme="minorHAnsi" w:hAnsiTheme="minorHAnsi" w:cstheme="minorHAnsi"/>
        </w:rPr>
        <w:t xml:space="preserve"> interests.</w:t>
      </w:r>
    </w:p>
    <w:p w14:paraId="16FE099D" w14:textId="77777777" w:rsidR="00C367E3" w:rsidRPr="00AA2F36" w:rsidRDefault="00C367E3" w:rsidP="00C367E3">
      <w:pPr>
        <w:pStyle w:val="Heading2"/>
        <w:keepNext w:val="0"/>
        <w:keepLines w:val="0"/>
        <w:spacing w:after="80"/>
        <w:rPr>
          <w:rFonts w:asciiTheme="minorHAnsi" w:hAnsiTheme="minorHAnsi" w:cstheme="minorHAnsi"/>
          <w:b/>
          <w:sz w:val="24"/>
          <w:szCs w:val="34"/>
        </w:rPr>
      </w:pPr>
      <w:bookmarkStart w:id="4" w:name="_n2wpfxsugogn" w:colFirst="0" w:colLast="0"/>
      <w:bookmarkEnd w:id="4"/>
      <w:r w:rsidRPr="00AA2F36">
        <w:rPr>
          <w:rFonts w:asciiTheme="minorHAnsi" w:hAnsiTheme="minorHAnsi" w:cstheme="minorHAnsi"/>
          <w:b/>
          <w:sz w:val="24"/>
          <w:szCs w:val="34"/>
        </w:rPr>
        <w:t>Disciplinary Consequences</w:t>
      </w:r>
    </w:p>
    <w:p w14:paraId="16FE099E" w14:textId="77777777" w:rsidR="00C367E3" w:rsidRPr="006022C5" w:rsidRDefault="00C367E3" w:rsidP="00C367E3">
      <w:pPr>
        <w:spacing w:before="240" w:after="240"/>
        <w:rPr>
          <w:rFonts w:asciiTheme="minorHAnsi" w:hAnsiTheme="minorHAnsi" w:cstheme="minorHAnsi"/>
        </w:rPr>
      </w:pPr>
      <w:r w:rsidRPr="006022C5">
        <w:rPr>
          <w:rFonts w:asciiTheme="minorHAnsi" w:hAnsiTheme="minorHAnsi" w:cstheme="minorHAnsi"/>
        </w:rPr>
        <w:t xml:space="preserve">In cases when a conflict of interest is </w:t>
      </w:r>
      <w:r w:rsidR="00721489">
        <w:rPr>
          <w:rFonts w:asciiTheme="minorHAnsi" w:hAnsiTheme="minorHAnsi" w:cstheme="minorHAnsi"/>
        </w:rPr>
        <w:t xml:space="preserve">discovered to have been </w:t>
      </w:r>
      <w:r w:rsidRPr="006022C5">
        <w:rPr>
          <w:rFonts w:asciiTheme="minorHAnsi" w:hAnsiTheme="minorHAnsi" w:cstheme="minorHAnsi"/>
        </w:rPr>
        <w:t>deliberately concealed</w:t>
      </w:r>
      <w:r w:rsidR="00721489">
        <w:rPr>
          <w:rFonts w:asciiTheme="minorHAnsi" w:hAnsiTheme="minorHAnsi" w:cstheme="minorHAnsi"/>
        </w:rPr>
        <w:t>,</w:t>
      </w:r>
      <w:r w:rsidRPr="006022C5">
        <w:rPr>
          <w:rFonts w:asciiTheme="minorHAnsi" w:hAnsiTheme="minorHAnsi" w:cstheme="minorHAnsi"/>
        </w:rPr>
        <w:t xml:space="preserve"> disciplinary action may be invoked up to and including termination</w:t>
      </w:r>
      <w:r w:rsidR="00721489">
        <w:rPr>
          <w:rFonts w:asciiTheme="minorHAnsi" w:hAnsiTheme="minorHAnsi" w:cstheme="minorHAnsi"/>
        </w:rPr>
        <w:t xml:space="preserve"> and in extreme circumstances may lead to legal action</w:t>
      </w:r>
      <w:r w:rsidRPr="006022C5">
        <w:rPr>
          <w:rFonts w:asciiTheme="minorHAnsi" w:hAnsiTheme="minorHAnsi" w:cstheme="minorHAnsi"/>
        </w:rPr>
        <w:t>.</w:t>
      </w:r>
    </w:p>
    <w:p w14:paraId="16FE099F" w14:textId="77777777" w:rsidR="00C367E3" w:rsidRPr="006022C5" w:rsidRDefault="00C367E3" w:rsidP="00C367E3">
      <w:pPr>
        <w:spacing w:before="240" w:after="240"/>
        <w:rPr>
          <w:rFonts w:asciiTheme="minorHAnsi" w:hAnsiTheme="minorHAnsi" w:cstheme="minorHAnsi"/>
        </w:rPr>
      </w:pPr>
      <w:r w:rsidRPr="006022C5">
        <w:rPr>
          <w:rFonts w:asciiTheme="minorHAnsi" w:hAnsiTheme="minorHAnsi" w:cstheme="minorHAnsi"/>
        </w:rPr>
        <w:t xml:space="preserve"> </w:t>
      </w:r>
    </w:p>
    <w:p w14:paraId="16FE09A0" w14:textId="77777777" w:rsidR="00725A97" w:rsidRDefault="00725A97"/>
    <w:p w14:paraId="16FE09A1" w14:textId="77777777" w:rsidR="00083A7D" w:rsidRPr="00721489" w:rsidRDefault="00083A7D" w:rsidP="00083A7D">
      <w:r w:rsidRPr="00721489">
        <w:t>Policy Sign off and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3"/>
        <w:gridCol w:w="3212"/>
        <w:gridCol w:w="3261"/>
      </w:tblGrid>
      <w:tr w:rsidR="00721489" w:rsidRPr="00FB1013" w14:paraId="16FE09A5" w14:textId="77777777" w:rsidTr="10E73114">
        <w:tc>
          <w:tcPr>
            <w:tcW w:w="2453" w:type="dxa"/>
          </w:tcPr>
          <w:p w14:paraId="16FE09A2" w14:textId="77777777" w:rsidR="00721489" w:rsidRPr="00FB1013" w:rsidRDefault="00721489" w:rsidP="00721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16FE09A3" w14:textId="77777777" w:rsidR="00721489" w:rsidRPr="00FB1013" w:rsidRDefault="00721489" w:rsidP="00721489">
            <w:pPr>
              <w:jc w:val="center"/>
              <w:rPr>
                <w:sz w:val="24"/>
                <w:szCs w:val="24"/>
              </w:rPr>
            </w:pPr>
            <w:r w:rsidRPr="00FB1013">
              <w:rPr>
                <w:sz w:val="24"/>
                <w:szCs w:val="24"/>
              </w:rPr>
              <w:t>By whom</w:t>
            </w:r>
          </w:p>
        </w:tc>
        <w:tc>
          <w:tcPr>
            <w:tcW w:w="3261" w:type="dxa"/>
          </w:tcPr>
          <w:p w14:paraId="16FE09A4" w14:textId="77777777" w:rsidR="00721489" w:rsidRPr="00FB1013" w:rsidRDefault="00721489" w:rsidP="00721489">
            <w:pPr>
              <w:jc w:val="center"/>
              <w:rPr>
                <w:sz w:val="24"/>
                <w:szCs w:val="24"/>
              </w:rPr>
            </w:pPr>
            <w:r w:rsidRPr="00FB1013">
              <w:rPr>
                <w:sz w:val="24"/>
                <w:szCs w:val="24"/>
              </w:rPr>
              <w:t>Date</w:t>
            </w:r>
          </w:p>
        </w:tc>
      </w:tr>
      <w:tr w:rsidR="00721489" w:rsidRPr="00FB1013" w14:paraId="16FE09A9" w14:textId="77777777" w:rsidTr="10E73114">
        <w:tc>
          <w:tcPr>
            <w:tcW w:w="2453" w:type="dxa"/>
          </w:tcPr>
          <w:p w14:paraId="16FE09A6" w14:textId="77777777" w:rsidR="00721489" w:rsidRPr="00FB1013" w:rsidRDefault="00721489" w:rsidP="00721489">
            <w:pPr>
              <w:jc w:val="center"/>
              <w:rPr>
                <w:sz w:val="24"/>
                <w:szCs w:val="24"/>
              </w:rPr>
            </w:pPr>
            <w:r w:rsidRPr="00FB1013">
              <w:rPr>
                <w:sz w:val="24"/>
                <w:szCs w:val="24"/>
              </w:rPr>
              <w:t>Policy signed off by</w:t>
            </w:r>
          </w:p>
        </w:tc>
        <w:tc>
          <w:tcPr>
            <w:tcW w:w="3212" w:type="dxa"/>
          </w:tcPr>
          <w:p w14:paraId="16FE09A7" w14:textId="24E07173" w:rsidR="00721489" w:rsidRPr="00FB1013" w:rsidRDefault="000551A3" w:rsidP="007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Low</w:t>
            </w:r>
          </w:p>
        </w:tc>
        <w:tc>
          <w:tcPr>
            <w:tcW w:w="3261" w:type="dxa"/>
          </w:tcPr>
          <w:p w14:paraId="16FE09A8" w14:textId="22B59E04" w:rsidR="00721489" w:rsidRPr="00FB1013" w:rsidRDefault="000569FD" w:rsidP="007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01.02.2020</w:t>
            </w:r>
          </w:p>
        </w:tc>
      </w:tr>
      <w:tr w:rsidR="00721489" w:rsidRPr="00FB1013" w14:paraId="16FE09AD" w14:textId="77777777" w:rsidTr="10E73114">
        <w:tc>
          <w:tcPr>
            <w:tcW w:w="2453" w:type="dxa"/>
          </w:tcPr>
          <w:p w14:paraId="16FE09AA" w14:textId="77777777" w:rsidR="00721489" w:rsidRPr="00FB1013" w:rsidRDefault="00721489" w:rsidP="00721489">
            <w:pPr>
              <w:jc w:val="center"/>
              <w:rPr>
                <w:sz w:val="24"/>
                <w:szCs w:val="24"/>
              </w:rPr>
            </w:pPr>
            <w:r w:rsidRPr="00FB1013">
              <w:rPr>
                <w:sz w:val="24"/>
                <w:szCs w:val="24"/>
              </w:rPr>
              <w:t>Reviewed by</w:t>
            </w:r>
          </w:p>
        </w:tc>
        <w:tc>
          <w:tcPr>
            <w:tcW w:w="3212" w:type="dxa"/>
          </w:tcPr>
          <w:p w14:paraId="16FE09AB" w14:textId="18A2A8C6" w:rsidR="00721489" w:rsidRPr="00FB1013" w:rsidRDefault="00F76AF8" w:rsidP="007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Katy Harris</w:t>
            </w:r>
          </w:p>
        </w:tc>
        <w:tc>
          <w:tcPr>
            <w:tcW w:w="3261" w:type="dxa"/>
          </w:tcPr>
          <w:p w14:paraId="16FE09AC" w14:textId="6E9FDFF3" w:rsidR="00721489" w:rsidRPr="00FB1013" w:rsidRDefault="0087634B" w:rsidP="007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02.03.25</w:t>
            </w:r>
          </w:p>
        </w:tc>
      </w:tr>
      <w:tr w:rsidR="00721489" w:rsidRPr="00FB1013" w14:paraId="16FE09B1" w14:textId="77777777" w:rsidTr="10E73114">
        <w:tc>
          <w:tcPr>
            <w:tcW w:w="2453" w:type="dxa"/>
          </w:tcPr>
          <w:p w14:paraId="16FE09AE" w14:textId="77777777" w:rsidR="00721489" w:rsidRPr="00FB1013" w:rsidRDefault="00721489" w:rsidP="00721489">
            <w:pPr>
              <w:jc w:val="center"/>
              <w:rPr>
                <w:sz w:val="24"/>
                <w:szCs w:val="24"/>
              </w:rPr>
            </w:pPr>
            <w:r w:rsidRPr="00FB1013">
              <w:rPr>
                <w:sz w:val="24"/>
                <w:szCs w:val="24"/>
              </w:rPr>
              <w:t>Next Review By</w:t>
            </w:r>
          </w:p>
        </w:tc>
        <w:tc>
          <w:tcPr>
            <w:tcW w:w="3212" w:type="dxa"/>
          </w:tcPr>
          <w:p w14:paraId="16FE09AF" w14:textId="5ACC0077" w:rsidR="00721489" w:rsidRPr="00FB1013" w:rsidRDefault="00F76AF8" w:rsidP="007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Katy Harris</w:t>
            </w:r>
          </w:p>
        </w:tc>
        <w:tc>
          <w:tcPr>
            <w:tcW w:w="3261" w:type="dxa"/>
          </w:tcPr>
          <w:p w14:paraId="16FE09B0" w14:textId="719DEC8F" w:rsidR="00721489" w:rsidRPr="00FB1013" w:rsidRDefault="0087634B" w:rsidP="007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02.03.26</w:t>
            </w:r>
          </w:p>
        </w:tc>
      </w:tr>
    </w:tbl>
    <w:p w14:paraId="16FE09B2" w14:textId="77777777" w:rsidR="00083A7D" w:rsidRDefault="00083A7D"/>
    <w:sectPr w:rsidR="00083A7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EC262" w14:textId="77777777" w:rsidR="00FB5585" w:rsidRDefault="00FB5585" w:rsidP="0016488C">
      <w:pPr>
        <w:spacing w:line="240" w:lineRule="auto"/>
      </w:pPr>
      <w:r>
        <w:separator/>
      </w:r>
    </w:p>
  </w:endnote>
  <w:endnote w:type="continuationSeparator" w:id="0">
    <w:p w14:paraId="5CCFEB61" w14:textId="77777777" w:rsidR="00FB5585" w:rsidRDefault="00FB5585" w:rsidP="0016488C">
      <w:pPr>
        <w:spacing w:line="240" w:lineRule="auto"/>
      </w:pPr>
      <w:r>
        <w:continuationSeparator/>
      </w:r>
    </w:p>
  </w:endnote>
  <w:endnote w:type="continuationNotice" w:id="1">
    <w:p w14:paraId="3B44F5FD" w14:textId="77777777" w:rsidR="00FB5585" w:rsidRDefault="00FB55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E09BD" w14:textId="77777777" w:rsidR="00AA2F36" w:rsidRDefault="00AA2F36" w:rsidP="00AA2F36"/>
  <w:p w14:paraId="16FE09BE" w14:textId="77777777" w:rsidR="00AA2F36" w:rsidRDefault="00AA2F36" w:rsidP="00AA2F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2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FE09BF" w14:textId="77777777" w:rsidR="00AA2F36" w:rsidRPr="006A32F1" w:rsidRDefault="00AA2F36" w:rsidP="00AA2F36">
    <w:pPr>
      <w:ind w:right="360"/>
      <w:rPr>
        <w:sz w:val="20"/>
      </w:rPr>
    </w:pPr>
    <w:r w:rsidRPr="006A32F1">
      <w:rPr>
        <w:sz w:val="20"/>
      </w:rPr>
      <w:t xml:space="preserve">76 </w:t>
    </w:r>
    <w:proofErr w:type="spellStart"/>
    <w:r w:rsidRPr="006A32F1">
      <w:rPr>
        <w:sz w:val="20"/>
      </w:rPr>
      <w:t>Freelands</w:t>
    </w:r>
    <w:proofErr w:type="spellEnd"/>
    <w:r w:rsidRPr="006A32F1">
      <w:rPr>
        <w:sz w:val="20"/>
      </w:rPr>
      <w:t xml:space="preserve"> Road, Bromley, Kent, BR1 3HY</w:t>
    </w:r>
  </w:p>
  <w:p w14:paraId="16FE09C0" w14:textId="77777777" w:rsidR="00AA2F36" w:rsidRDefault="00AA2F36" w:rsidP="00AA2F36">
    <w:pPr>
      <w:pStyle w:val="Footer"/>
    </w:pPr>
    <w:r>
      <w:rPr>
        <w:rFonts w:ascii="Times" w:hAnsi="Times"/>
        <w:i/>
      </w:rPr>
      <w:t xml:space="preserve">Tel:0208 460 0181      </w:t>
    </w:r>
    <w:r>
      <w:rPr>
        <w:rFonts w:ascii="Times" w:hAnsi="Times"/>
        <w:i/>
      </w:rPr>
      <w:tab/>
    </w:r>
    <w:r>
      <w:rPr>
        <w:rFonts w:ascii="Times" w:hAnsi="Times"/>
        <w:i/>
      </w:rPr>
      <w:tab/>
      <w:t xml:space="preserve">   </w:t>
    </w:r>
    <w:proofErr w:type="gramStart"/>
    <w:r w:rsidRPr="008829D6">
      <w:rPr>
        <w:rFonts w:ascii="Times" w:hAnsi="Times"/>
        <w:i/>
      </w:rPr>
      <w:t>email:sen@thetutorialfoundation.co.uk</w:t>
    </w:r>
    <w:proofErr w:type="gramEnd"/>
  </w:p>
  <w:p w14:paraId="16FE09C1" w14:textId="77777777" w:rsidR="00F5726D" w:rsidRDefault="00F5726D" w:rsidP="00F5726D">
    <w:pPr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08B6F" w14:textId="77777777" w:rsidR="00FB5585" w:rsidRDefault="00FB5585" w:rsidP="0016488C">
      <w:pPr>
        <w:spacing w:line="240" w:lineRule="auto"/>
      </w:pPr>
      <w:r>
        <w:separator/>
      </w:r>
    </w:p>
  </w:footnote>
  <w:footnote w:type="continuationSeparator" w:id="0">
    <w:p w14:paraId="4F283A3A" w14:textId="77777777" w:rsidR="00FB5585" w:rsidRDefault="00FB5585" w:rsidP="0016488C">
      <w:pPr>
        <w:spacing w:line="240" w:lineRule="auto"/>
      </w:pPr>
      <w:r>
        <w:continuationSeparator/>
      </w:r>
    </w:p>
  </w:footnote>
  <w:footnote w:type="continuationNotice" w:id="1">
    <w:p w14:paraId="4675CAD4" w14:textId="77777777" w:rsidR="00FB5585" w:rsidRDefault="00FB55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E09B8" w14:textId="21E6C7BF" w:rsidR="0016488C" w:rsidRPr="008A4A08" w:rsidRDefault="0016488C" w:rsidP="0016488C">
    <w:pPr>
      <w:rPr>
        <w:rFonts w:ascii="Times" w:hAnsi="Times"/>
      </w:rPr>
    </w:pPr>
    <w:r w:rsidRPr="007618A4">
      <w:rPr>
        <w:noProof/>
        <w:color w:val="ED7D31" w:themeColor="accent2"/>
        <w:lang w:val="en-GB"/>
      </w:rPr>
      <w:drawing>
        <wp:anchor distT="0" distB="0" distL="114300" distR="114300" simplePos="0" relativeHeight="251661312" behindDoc="0" locked="0" layoutInCell="1" allowOverlap="1" wp14:anchorId="16FE09C4" wp14:editId="16FE09C5">
          <wp:simplePos x="0" y="0"/>
          <wp:positionH relativeFrom="column">
            <wp:posOffset>5486400</wp:posOffset>
          </wp:positionH>
          <wp:positionV relativeFrom="paragraph">
            <wp:posOffset>-200660</wp:posOffset>
          </wp:positionV>
          <wp:extent cx="541655" cy="614045"/>
          <wp:effectExtent l="0" t="0" r="0" b="0"/>
          <wp:wrapNone/>
          <wp:docPr id="8" name="Picture 8" descr="https://thetutorialfoundation.co.uk/wp-content/uploads/2019/01/TF_day_school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hetutorialfoundation.co.uk/wp-content/uploads/2019/01/TF_day_school_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596E7CF">
      <w:rPr>
        <w:rFonts w:ascii="Times" w:hAnsi="Times"/>
      </w:rPr>
      <w:t>Conflict of Interest Policy</w:t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 w:rsidR="4596E7CF" w:rsidRPr="008A4A08">
      <w:rPr>
        <w:rFonts w:ascii="Times" w:hAnsi="Times"/>
      </w:rPr>
      <w:t>T</w:t>
    </w:r>
    <w:r w:rsidR="4596E7CF">
      <w:rPr>
        <w:rFonts w:ascii="Times" w:hAnsi="Times"/>
      </w:rPr>
      <w:t>he</w:t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</w:p>
  <w:p w14:paraId="16FE09B9" w14:textId="7642B129" w:rsidR="0016488C" w:rsidRPr="008A4A08" w:rsidRDefault="00EC5897" w:rsidP="0016488C">
    <w:pPr>
      <w:rPr>
        <w:rFonts w:ascii="Times" w:hAnsi="Times"/>
      </w:rPr>
    </w:pPr>
    <w:r>
      <w:rPr>
        <w:rFonts w:ascii="Times" w:hAnsi="Times"/>
      </w:rPr>
      <w:t>March</w:t>
    </w:r>
    <w:r w:rsidR="001F2FFA">
      <w:rPr>
        <w:rFonts w:ascii="Times" w:hAnsi="Times"/>
      </w:rPr>
      <w:t xml:space="preserve"> 202</w:t>
    </w:r>
    <w:r>
      <w:rPr>
        <w:rFonts w:ascii="Times" w:hAnsi="Times"/>
      </w:rPr>
      <w:t>5</w:t>
    </w:r>
    <w:r w:rsidR="0016488C">
      <w:rPr>
        <w:rFonts w:ascii="Times" w:hAnsi="Times"/>
      </w:rPr>
      <w:tab/>
    </w:r>
    <w:r w:rsidR="0016488C">
      <w:rPr>
        <w:rFonts w:ascii="Times" w:hAnsi="Times"/>
      </w:rPr>
      <w:tab/>
    </w:r>
    <w:r w:rsidR="0016488C">
      <w:rPr>
        <w:rFonts w:ascii="Times" w:hAnsi="Times"/>
      </w:rPr>
      <w:tab/>
    </w:r>
    <w:r w:rsidR="0016488C">
      <w:rPr>
        <w:rFonts w:ascii="Times" w:hAnsi="Times"/>
      </w:rPr>
      <w:tab/>
    </w:r>
    <w:r w:rsidR="0016488C">
      <w:rPr>
        <w:rFonts w:ascii="Times" w:hAnsi="Times"/>
      </w:rPr>
      <w:tab/>
    </w:r>
    <w:r w:rsidR="0016488C">
      <w:rPr>
        <w:rFonts w:ascii="Times" w:hAnsi="Times"/>
      </w:rPr>
      <w:tab/>
    </w:r>
    <w:r w:rsidR="0016488C">
      <w:rPr>
        <w:rFonts w:ascii="Times" w:hAnsi="Times"/>
      </w:rPr>
      <w:tab/>
    </w:r>
    <w:r w:rsidR="0016488C" w:rsidRPr="008A4A08">
      <w:rPr>
        <w:rFonts w:ascii="Times" w:hAnsi="Times"/>
      </w:rPr>
      <w:t xml:space="preserve">Tutorial Foundation </w:t>
    </w:r>
  </w:p>
  <w:p w14:paraId="16FE09BA" w14:textId="779370E5" w:rsidR="0016488C" w:rsidRDefault="00EC5897" w:rsidP="00EC5897">
    <w:pPr>
      <w:pStyle w:val="Header"/>
      <w:tabs>
        <w:tab w:val="clear" w:pos="4513"/>
        <w:tab w:val="clear" w:pos="9026"/>
        <w:tab w:val="left" w:pos="2160"/>
      </w:tabs>
    </w:pPr>
    <w:r>
      <w:tab/>
    </w:r>
  </w:p>
  <w:p w14:paraId="16FE09BB" w14:textId="77777777" w:rsidR="0016488C" w:rsidRDefault="00164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C295F"/>
    <w:multiLevelType w:val="multilevel"/>
    <w:tmpl w:val="A5624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64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E3"/>
    <w:rsid w:val="000134B7"/>
    <w:rsid w:val="000551A3"/>
    <w:rsid w:val="000569FD"/>
    <w:rsid w:val="00083A7D"/>
    <w:rsid w:val="0009728B"/>
    <w:rsid w:val="0016488C"/>
    <w:rsid w:val="001B13B7"/>
    <w:rsid w:val="001F2FFA"/>
    <w:rsid w:val="0024308D"/>
    <w:rsid w:val="00306EC1"/>
    <w:rsid w:val="00392239"/>
    <w:rsid w:val="003A1B08"/>
    <w:rsid w:val="003D2B67"/>
    <w:rsid w:val="003F4CE9"/>
    <w:rsid w:val="004D26A3"/>
    <w:rsid w:val="00517542"/>
    <w:rsid w:val="0058776F"/>
    <w:rsid w:val="006022C5"/>
    <w:rsid w:val="00619770"/>
    <w:rsid w:val="00671A9D"/>
    <w:rsid w:val="006A32F1"/>
    <w:rsid w:val="00721489"/>
    <w:rsid w:val="00725A97"/>
    <w:rsid w:val="00806DBC"/>
    <w:rsid w:val="008351B4"/>
    <w:rsid w:val="0087634B"/>
    <w:rsid w:val="00AA2F36"/>
    <w:rsid w:val="00B95541"/>
    <w:rsid w:val="00C367E3"/>
    <w:rsid w:val="00C80929"/>
    <w:rsid w:val="00CA77AB"/>
    <w:rsid w:val="00DF19EF"/>
    <w:rsid w:val="00EC5897"/>
    <w:rsid w:val="00EF2A05"/>
    <w:rsid w:val="00F35522"/>
    <w:rsid w:val="00F5726D"/>
    <w:rsid w:val="00F76AF8"/>
    <w:rsid w:val="00FB5585"/>
    <w:rsid w:val="10E73114"/>
    <w:rsid w:val="152AA61D"/>
    <w:rsid w:val="30FCB3FC"/>
    <w:rsid w:val="3BDA4DFC"/>
    <w:rsid w:val="4596E7CF"/>
    <w:rsid w:val="5DAF997B"/>
    <w:rsid w:val="6C8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E0985"/>
  <w15:chartTrackingRefBased/>
  <w15:docId w15:val="{7DF53BEC-0B95-4764-B6BA-EFA100E9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67E3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1">
    <w:name w:val="heading 1"/>
    <w:basedOn w:val="Normal"/>
    <w:next w:val="Normal"/>
    <w:link w:val="Heading1Char"/>
    <w:rsid w:val="00C367E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C367E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C367E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7E3"/>
    <w:rPr>
      <w:rFonts w:ascii="Arial" w:eastAsia="Arial" w:hAnsi="Arial" w:cs="Arial"/>
      <w:sz w:val="40"/>
      <w:szCs w:val="40"/>
      <w:lang w:val="en" w:eastAsia="en-GB"/>
    </w:rPr>
  </w:style>
  <w:style w:type="character" w:customStyle="1" w:styleId="Heading2Char">
    <w:name w:val="Heading 2 Char"/>
    <w:basedOn w:val="DefaultParagraphFont"/>
    <w:link w:val="Heading2"/>
    <w:rsid w:val="00C367E3"/>
    <w:rPr>
      <w:rFonts w:ascii="Arial" w:eastAsia="Arial" w:hAnsi="Arial" w:cs="Arial"/>
      <w:sz w:val="32"/>
      <w:szCs w:val="32"/>
      <w:lang w:val="en" w:eastAsia="en-GB"/>
    </w:rPr>
  </w:style>
  <w:style w:type="character" w:customStyle="1" w:styleId="Heading3Char">
    <w:name w:val="Heading 3 Char"/>
    <w:basedOn w:val="DefaultParagraphFont"/>
    <w:link w:val="Heading3"/>
    <w:rsid w:val="00C367E3"/>
    <w:rPr>
      <w:rFonts w:ascii="Arial" w:eastAsia="Arial" w:hAnsi="Arial" w:cs="Arial"/>
      <w:color w:val="434343"/>
      <w:sz w:val="28"/>
      <w:szCs w:val="28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1648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88C"/>
    <w:rPr>
      <w:rFonts w:ascii="Arial" w:eastAsia="Arial" w:hAnsi="Arial" w:cs="Arial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1648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88C"/>
    <w:rPr>
      <w:rFonts w:ascii="Arial" w:eastAsia="Arial" w:hAnsi="Arial" w:cs="Arial"/>
      <w:lang w:val="en" w:eastAsia="en-GB"/>
    </w:rPr>
  </w:style>
  <w:style w:type="character" w:styleId="PageNumber">
    <w:name w:val="page number"/>
    <w:rsid w:val="00AA2F36"/>
  </w:style>
  <w:style w:type="table" w:styleId="TableGrid">
    <w:name w:val="Table Grid"/>
    <w:basedOn w:val="TableNormal"/>
    <w:uiPriority w:val="59"/>
    <w:rsid w:val="0008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C054D24633945973D38DF07A5ABC0" ma:contentTypeVersion="18" ma:contentTypeDescription="Create a new document." ma:contentTypeScope="" ma:versionID="dc002fc0d5f2ab39f74b393654f7aab1">
  <xsd:schema xmlns:xsd="http://www.w3.org/2001/XMLSchema" xmlns:xs="http://www.w3.org/2001/XMLSchema" xmlns:p="http://schemas.microsoft.com/office/2006/metadata/properties" xmlns:ns2="bbc9eaeb-da33-47de-a2d4-88c6dcc0e3a5" xmlns:ns3="c440cf81-fb73-4fae-8123-91bc6e955840" targetNamespace="http://schemas.microsoft.com/office/2006/metadata/properties" ma:root="true" ma:fieldsID="894bb2070fc209d9933f6c63cc445584" ns2:_="" ns3:_="">
    <xsd:import namespace="bbc9eaeb-da33-47de-a2d4-88c6dcc0e3a5"/>
    <xsd:import namespace="c440cf81-fb73-4fae-8123-91bc6e955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eaeb-da33-47de-a2d4-88c6dcc0e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0cf81-fb73-4fae-8123-91bc6e955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8bd5c9-9ce3-48ed-a803-2a3596c8ac9c}" ma:internalName="TaxCatchAll" ma:showField="CatchAllData" ma:web="c440cf81-fb73-4fae-8123-91bc6e955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0cf81-fb73-4fae-8123-91bc6e955840" xsi:nil="true"/>
  </documentManagement>
</p:properties>
</file>

<file path=customXml/itemProps1.xml><?xml version="1.0" encoding="utf-8"?>
<ds:datastoreItem xmlns:ds="http://schemas.openxmlformats.org/officeDocument/2006/customXml" ds:itemID="{38A5676F-48D2-46DE-8C20-E94E9D5C8C08}"/>
</file>

<file path=customXml/itemProps2.xml><?xml version="1.0" encoding="utf-8"?>
<ds:datastoreItem xmlns:ds="http://schemas.openxmlformats.org/officeDocument/2006/customXml" ds:itemID="{69BAE6DB-AAC8-42AE-B27A-F595152BD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364C1-F170-4B16-9672-43FAE01CD7F7}">
  <ds:schemaRefs>
    <ds:schemaRef ds:uri="http://schemas.microsoft.com/office/2006/metadata/properties"/>
    <ds:schemaRef ds:uri="http://schemas.microsoft.com/office/infopath/2007/PartnerControls"/>
    <ds:schemaRef ds:uri="c440cf81-fb73-4fae-8123-91bc6e955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 Admin</dc:creator>
  <cp:keywords/>
  <dc:description/>
  <cp:lastModifiedBy>SEN</cp:lastModifiedBy>
  <cp:revision>3</cp:revision>
  <dcterms:created xsi:type="dcterms:W3CDTF">2025-03-03T11:10:00Z</dcterms:created>
  <dcterms:modified xsi:type="dcterms:W3CDTF">2025-03-03T11:12:00Z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0x010100604C054D24633945973D38DF07A5ABC0</vt:lpwstr>
  </property>
  <property fmtid="{D5CDD505-2E9C-101B-9397-08002B2CF9AE}" pid="3" name="Order">
    <vt:r8>1065600</vt:r8>
  </property>
</Properties>
</file>