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00CF" w14:textId="77777777" w:rsidR="00B97EA6" w:rsidRPr="00B97EA6" w:rsidRDefault="00B97EA6" w:rsidP="00B97EA6">
      <w:pPr>
        <w:pStyle w:val="Pa4"/>
        <w:spacing w:before="160" w:after="40"/>
        <w:rPr>
          <w:rFonts w:ascii="Arial" w:hAnsi="Arial" w:cs="Comic Sans MS"/>
          <w:b/>
          <w:bCs/>
          <w:color w:val="000000"/>
          <w:sz w:val="20"/>
          <w:szCs w:val="20"/>
          <w:u w:val="single"/>
        </w:rPr>
      </w:pPr>
      <w:r w:rsidRPr="00B97EA6">
        <w:rPr>
          <w:rFonts w:ascii="Arial" w:hAnsi="Arial" w:cs="Comic Sans MS"/>
          <w:b/>
          <w:bCs/>
          <w:color w:val="000000"/>
          <w:sz w:val="20"/>
          <w:szCs w:val="20"/>
          <w:u w:val="single"/>
        </w:rPr>
        <w:t xml:space="preserve">Major Incident Procedure </w:t>
      </w:r>
    </w:p>
    <w:p w14:paraId="3F7800D0" w14:textId="77777777" w:rsidR="00B97EA6" w:rsidRPr="008B0FFA" w:rsidRDefault="00B97EA6" w:rsidP="00B97EA6">
      <w:pPr>
        <w:pStyle w:val="Default"/>
        <w:rPr>
          <w:rFonts w:ascii="Arial" w:hAnsi="Arial"/>
        </w:rPr>
      </w:pPr>
    </w:p>
    <w:p w14:paraId="3F7800D1"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This policy and procedure applies to all incidents that, due to their status of impact or urgency to The Tutorial Foundation, have been prioritised as a major incident.</w:t>
      </w:r>
    </w:p>
    <w:p w14:paraId="3F7800D2" w14:textId="77777777" w:rsidR="00B97EA6" w:rsidRPr="008B0FFA" w:rsidRDefault="00B97EA6" w:rsidP="00B97EA6">
      <w:pPr>
        <w:pStyle w:val="Default"/>
        <w:rPr>
          <w:rFonts w:ascii="Arial" w:hAnsi="Arial" w:cs="Comic Sans MS"/>
          <w:sz w:val="20"/>
          <w:szCs w:val="20"/>
        </w:rPr>
      </w:pPr>
    </w:p>
    <w:p w14:paraId="3F7800D3"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Definition </w:t>
      </w:r>
    </w:p>
    <w:p w14:paraId="3F7800D4"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is defined as an event which has significant impact or urgency for The Tutorial Foundation and which demands a response beyond the routine incident management process. </w:t>
      </w:r>
    </w:p>
    <w:p w14:paraId="3F7800D5" w14:textId="77777777" w:rsidR="00B97EA6" w:rsidRPr="008B0FFA" w:rsidRDefault="00B97EA6" w:rsidP="00B97EA6">
      <w:pPr>
        <w:pStyle w:val="Default"/>
        <w:rPr>
          <w:rFonts w:ascii="Arial" w:hAnsi="Arial" w:cs="Comic Sans MS"/>
          <w:sz w:val="20"/>
          <w:szCs w:val="20"/>
        </w:rPr>
      </w:pPr>
    </w:p>
    <w:p w14:paraId="3F7800D6"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will be an Incident that is either defined in the major incident procedure or which: </w:t>
      </w:r>
    </w:p>
    <w:p w14:paraId="3F7800D7" w14:textId="77777777" w:rsidR="00B97EA6" w:rsidRPr="008B0FFA" w:rsidRDefault="00B97EA6" w:rsidP="00B97EA6">
      <w:pPr>
        <w:pStyle w:val="Pa6"/>
        <w:spacing w:before="40" w:after="40"/>
        <w:ind w:left="660" w:hanging="440"/>
        <w:rPr>
          <w:rFonts w:ascii="Arial" w:hAnsi="Arial" w:cs="Comic Sans MS"/>
          <w:color w:val="000000"/>
          <w:sz w:val="20"/>
          <w:szCs w:val="20"/>
        </w:rPr>
      </w:pPr>
      <w:proofErr w:type="gramStart"/>
      <w:r w:rsidRPr="008B0FFA">
        <w:rPr>
          <w:rStyle w:val="A5"/>
          <w:rFonts w:ascii="Arial" w:hAnsi="Arial" w:cs="Comic Sans MS"/>
          <w:sz w:val="20"/>
          <w:szCs w:val="20"/>
        </w:rPr>
        <w:t>..</w:t>
      </w:r>
      <w:proofErr w:type="gramEnd"/>
      <w:r w:rsidRPr="008B0FFA">
        <w:rPr>
          <w:rFonts w:ascii="Arial" w:hAnsi="Arial" w:cs="Comic Sans MS"/>
          <w:color w:val="000000"/>
          <w:sz w:val="20"/>
          <w:szCs w:val="20"/>
        </w:rPr>
        <w:t xml:space="preserve">may either cause, or have the potential to cause, impact on The Tutorial Foundation </w:t>
      </w:r>
      <w:r>
        <w:rPr>
          <w:rFonts w:ascii="Arial" w:hAnsi="Arial" w:cs="Comic Sans MS"/>
          <w:color w:val="000000"/>
          <w:sz w:val="20"/>
          <w:szCs w:val="20"/>
        </w:rPr>
        <w:t>(TTF)</w:t>
      </w:r>
    </w:p>
    <w:p w14:paraId="3F7800D8" w14:textId="77777777" w:rsidR="00B97EA6" w:rsidRDefault="00B97EA6" w:rsidP="00B97EA6">
      <w:pPr>
        <w:pStyle w:val="Pa6"/>
        <w:spacing w:before="40" w:after="40"/>
        <w:ind w:left="660" w:hanging="440"/>
        <w:rPr>
          <w:rFonts w:ascii="Arial" w:hAnsi="Arial" w:cs="Comic Sans MS"/>
          <w:color w:val="000000"/>
          <w:sz w:val="20"/>
          <w:szCs w:val="20"/>
        </w:rPr>
      </w:pPr>
      <w:proofErr w:type="gramStart"/>
      <w:r w:rsidRPr="008B0FFA">
        <w:rPr>
          <w:rStyle w:val="A5"/>
          <w:rFonts w:ascii="Arial" w:hAnsi="Arial" w:cs="Comic Sans MS"/>
          <w:sz w:val="20"/>
          <w:szCs w:val="20"/>
        </w:rPr>
        <w:t>..</w:t>
      </w:r>
      <w:proofErr w:type="gramEnd"/>
      <w:r w:rsidRPr="008B0FFA">
        <w:rPr>
          <w:rFonts w:ascii="Arial" w:hAnsi="Arial" w:cs="Comic Sans MS"/>
          <w:color w:val="000000"/>
          <w:sz w:val="20"/>
          <w:szCs w:val="20"/>
        </w:rPr>
        <w:t xml:space="preserve">or be an incident that has significant impact on reputation, legal compliance, regulation or security of </w:t>
      </w:r>
      <w:r>
        <w:rPr>
          <w:rFonts w:ascii="Arial" w:hAnsi="Arial" w:cs="Comic Sans MS"/>
          <w:color w:val="000000"/>
          <w:sz w:val="20"/>
          <w:szCs w:val="20"/>
        </w:rPr>
        <w:t>TTF</w:t>
      </w:r>
    </w:p>
    <w:p w14:paraId="3F7800D9" w14:textId="77777777" w:rsidR="00B97EA6" w:rsidRPr="00B97EA6" w:rsidRDefault="00B97EA6" w:rsidP="00B97EA6">
      <w:pPr>
        <w:pStyle w:val="Default"/>
      </w:pPr>
    </w:p>
    <w:p w14:paraId="3F7800DA"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Policy </w:t>
      </w:r>
    </w:p>
    <w:p w14:paraId="3F7800DB"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Tutorial Foundation’s policy is to have an effective and efficient system for responding to major incidents, which is appropriate to the individual circumstances. </w:t>
      </w:r>
    </w:p>
    <w:p w14:paraId="3F7800DC"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requirements are: </w:t>
      </w:r>
    </w:p>
    <w:p w14:paraId="3F7800DD"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To provide an effective communication system across The Tutorial Foundation during a major incident including management, staff, parents other involved agencies.</w:t>
      </w:r>
    </w:p>
    <w:p w14:paraId="3F7800DE" w14:textId="77777777" w:rsidR="00B97EA6" w:rsidRPr="008B0FFA" w:rsidRDefault="00B97EA6" w:rsidP="00B97EA6">
      <w:pPr>
        <w:pStyle w:val="Default"/>
        <w:rPr>
          <w:rFonts w:ascii="Arial" w:hAnsi="Arial" w:cs="Comic Sans MS"/>
          <w:sz w:val="20"/>
          <w:szCs w:val="20"/>
        </w:rPr>
      </w:pPr>
    </w:p>
    <w:p w14:paraId="3F7800DF"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E</w:t>
      </w:r>
      <w:r w:rsidRPr="008B0FFA">
        <w:rPr>
          <w:rFonts w:ascii="Arial" w:hAnsi="Arial" w:cs="Comic Sans MS"/>
          <w:color w:val="000000"/>
          <w:sz w:val="20"/>
          <w:szCs w:val="20"/>
        </w:rPr>
        <w:t>nsure that the Directors or an appropriate Incident Manager/Major Incident Person are in place to manage a major incident.</w:t>
      </w:r>
    </w:p>
    <w:p w14:paraId="3F7800E0" w14:textId="77777777" w:rsidR="00B97EA6" w:rsidRPr="008B0FFA" w:rsidRDefault="00B97EA6" w:rsidP="00B97EA6">
      <w:pPr>
        <w:pStyle w:val="Default"/>
        <w:rPr>
          <w:rFonts w:ascii="Arial" w:hAnsi="Arial" w:cs="Comic Sans MS"/>
          <w:sz w:val="20"/>
          <w:szCs w:val="20"/>
        </w:rPr>
      </w:pPr>
    </w:p>
    <w:p w14:paraId="3F7800E1"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incidents are notified promptly to the appropriate persons, so that the appropriate resources are made available.</w:t>
      </w:r>
    </w:p>
    <w:p w14:paraId="3F7800E2" w14:textId="77777777" w:rsidR="00B97EA6" w:rsidRPr="008B0FFA" w:rsidRDefault="00B97EA6" w:rsidP="00B97EA6">
      <w:pPr>
        <w:pStyle w:val="Default"/>
        <w:rPr>
          <w:rFonts w:ascii="Arial" w:hAnsi="Arial" w:cs="Comic Sans MS"/>
          <w:sz w:val="20"/>
          <w:szCs w:val="20"/>
        </w:rPr>
      </w:pPr>
    </w:p>
    <w:p w14:paraId="3F7800E3"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 investigations are conducted and contribute to The Tutorial Foundation’s knowledge of the causes of incidents.</w:t>
      </w:r>
    </w:p>
    <w:p w14:paraId="3F7800E4" w14:textId="77777777" w:rsidR="00B97EA6" w:rsidRPr="008B0FFA" w:rsidRDefault="00B97EA6" w:rsidP="00B97EA6">
      <w:pPr>
        <w:pStyle w:val="Default"/>
        <w:rPr>
          <w:rFonts w:ascii="Arial" w:hAnsi="Arial" w:cs="Comic Sans MS"/>
          <w:sz w:val="20"/>
          <w:szCs w:val="20"/>
        </w:rPr>
      </w:pPr>
    </w:p>
    <w:p w14:paraId="3F7800E5"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Information about the causes of incidents and any relevant findings from investigations are provided to the relevant persons.</w:t>
      </w:r>
    </w:p>
    <w:p w14:paraId="3F7800E6" w14:textId="77777777" w:rsidR="00B97EA6" w:rsidRPr="008B0FFA" w:rsidRDefault="00B97EA6" w:rsidP="00B97EA6">
      <w:pPr>
        <w:pStyle w:val="Default"/>
        <w:rPr>
          <w:rFonts w:ascii="Arial" w:hAnsi="Arial" w:cs="Comic Sans MS"/>
          <w:sz w:val="20"/>
          <w:szCs w:val="20"/>
        </w:rPr>
      </w:pPr>
    </w:p>
    <w:p w14:paraId="3F7800E7"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 xml:space="preserve">A review of each major incident is conducted once service has been restored and, in line with problem management, to look at root cause and options for a permanent solution to prevent the same major incident happening again. </w:t>
      </w:r>
    </w:p>
    <w:p w14:paraId="3F7800E8" w14:textId="77777777" w:rsidR="00B97EA6" w:rsidRPr="008B0FFA" w:rsidRDefault="00B97EA6" w:rsidP="00B97EA6">
      <w:pPr>
        <w:pStyle w:val="Default"/>
        <w:rPr>
          <w:rFonts w:ascii="Arial" w:hAnsi="Arial" w:cs="Comic Sans MS"/>
          <w:sz w:val="20"/>
          <w:szCs w:val="20"/>
        </w:rPr>
      </w:pPr>
    </w:p>
    <w:p w14:paraId="3F7800E9"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R</w:t>
      </w:r>
      <w:r w:rsidRPr="008B0FFA">
        <w:rPr>
          <w:rFonts w:ascii="Arial" w:hAnsi="Arial" w:cs="Comic Sans MS"/>
          <w:color w:val="000000"/>
          <w:sz w:val="20"/>
          <w:szCs w:val="20"/>
        </w:rPr>
        <w:t xml:space="preserve">eviews of major incident investigation policy and procedure are carried out, independent of the major incident investigation, and to report on them (any lessons to be learned from the policy and procedure review will be considered, and appropriate action taken to ensure any improvements to existing arrangements are implemented within a specified timescale) </w:t>
      </w:r>
    </w:p>
    <w:p w14:paraId="3F7800EA" w14:textId="77777777" w:rsidR="00B97EA6" w:rsidRPr="008B0FFA" w:rsidRDefault="00B97EA6" w:rsidP="00B97EA6">
      <w:pPr>
        <w:pStyle w:val="Default"/>
        <w:rPr>
          <w:rFonts w:ascii="Arial" w:hAnsi="Arial" w:cs="Comic Sans MS"/>
          <w:sz w:val="20"/>
          <w:szCs w:val="20"/>
        </w:rPr>
      </w:pPr>
    </w:p>
    <w:p w14:paraId="3F7800EB"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Roles and responsibilities </w:t>
      </w:r>
    </w:p>
    <w:p w14:paraId="3F7800EC"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following roles and responsibilities for managing major incidents: </w:t>
      </w:r>
    </w:p>
    <w:p w14:paraId="3F7800ED" w14:textId="77777777" w:rsidR="00B97EA6" w:rsidRPr="008B0FFA"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 xml:space="preserve">The Incident Managers – Julia Low &amp; </w:t>
      </w:r>
      <w:r w:rsidR="00331405">
        <w:rPr>
          <w:rFonts w:ascii="Arial" w:hAnsi="Arial" w:cs="Comic Sans MS"/>
          <w:color w:val="000000"/>
          <w:sz w:val="20"/>
          <w:szCs w:val="20"/>
        </w:rPr>
        <w:t>Karen Turner</w:t>
      </w:r>
    </w:p>
    <w:p w14:paraId="3F7800EE" w14:textId="77777777" w:rsidR="00E90F61"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The Office Manager – Janine Jackson-Barr</w:t>
      </w:r>
      <w:r w:rsidR="00331405">
        <w:rPr>
          <w:rFonts w:ascii="Arial" w:hAnsi="Arial" w:cs="Comic Sans MS"/>
          <w:color w:val="000000"/>
          <w:sz w:val="20"/>
          <w:szCs w:val="20"/>
        </w:rPr>
        <w:t>, Katy Harris</w:t>
      </w:r>
    </w:p>
    <w:p w14:paraId="3F7800EF" w14:textId="77777777" w:rsidR="00B97EA6" w:rsidRPr="005E3DFF" w:rsidRDefault="00B97EA6" w:rsidP="00B97EA6">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189"/>
        <w:gridCol w:w="3213"/>
      </w:tblGrid>
      <w:tr w:rsidR="00B97EA6" w:rsidRPr="00C42B44" w14:paraId="3F7800F3" w14:textId="77777777" w:rsidTr="00722FEC">
        <w:trPr>
          <w:trHeight w:val="243"/>
        </w:trPr>
        <w:tc>
          <w:tcPr>
            <w:tcW w:w="3300" w:type="dxa"/>
            <w:shd w:val="clear" w:color="auto" w:fill="auto"/>
          </w:tcPr>
          <w:p w14:paraId="3F7800F0" w14:textId="77777777" w:rsidR="00B97EA6" w:rsidRPr="00C42B44" w:rsidRDefault="00B97EA6" w:rsidP="002E76A3">
            <w:pPr>
              <w:jc w:val="center"/>
              <w:rPr>
                <w:b/>
                <w:sz w:val="24"/>
                <w:szCs w:val="24"/>
              </w:rPr>
            </w:pPr>
          </w:p>
        </w:tc>
        <w:tc>
          <w:tcPr>
            <w:tcW w:w="3273" w:type="dxa"/>
            <w:shd w:val="clear" w:color="auto" w:fill="auto"/>
          </w:tcPr>
          <w:p w14:paraId="3F7800F1" w14:textId="77777777" w:rsidR="00B97EA6" w:rsidRPr="00C42B44" w:rsidRDefault="00B97EA6" w:rsidP="002E76A3">
            <w:pPr>
              <w:jc w:val="center"/>
              <w:rPr>
                <w:b/>
                <w:sz w:val="24"/>
                <w:szCs w:val="24"/>
              </w:rPr>
            </w:pPr>
            <w:r w:rsidRPr="00C42B44">
              <w:rPr>
                <w:b/>
                <w:sz w:val="24"/>
                <w:szCs w:val="24"/>
              </w:rPr>
              <w:t>By whom</w:t>
            </w:r>
          </w:p>
        </w:tc>
        <w:tc>
          <w:tcPr>
            <w:tcW w:w="3281" w:type="dxa"/>
            <w:shd w:val="clear" w:color="auto" w:fill="auto"/>
          </w:tcPr>
          <w:p w14:paraId="3F7800F2" w14:textId="77777777" w:rsidR="00B97EA6" w:rsidRPr="00C42B44" w:rsidRDefault="00B97EA6" w:rsidP="002E76A3">
            <w:pPr>
              <w:jc w:val="center"/>
              <w:rPr>
                <w:b/>
                <w:sz w:val="24"/>
                <w:szCs w:val="24"/>
              </w:rPr>
            </w:pPr>
            <w:r w:rsidRPr="00C42B44">
              <w:rPr>
                <w:b/>
                <w:sz w:val="24"/>
                <w:szCs w:val="24"/>
              </w:rPr>
              <w:t>Date</w:t>
            </w:r>
          </w:p>
        </w:tc>
      </w:tr>
      <w:tr w:rsidR="00B97EA6" w:rsidRPr="00C42B44" w14:paraId="3F7800F7" w14:textId="77777777" w:rsidTr="007D6544">
        <w:trPr>
          <w:trHeight w:val="340"/>
        </w:trPr>
        <w:tc>
          <w:tcPr>
            <w:tcW w:w="3300" w:type="dxa"/>
            <w:shd w:val="clear" w:color="auto" w:fill="auto"/>
          </w:tcPr>
          <w:p w14:paraId="3F7800F4" w14:textId="77777777" w:rsidR="00B97EA6" w:rsidRPr="00C42B44" w:rsidRDefault="00B97EA6" w:rsidP="007D6544">
            <w:pPr>
              <w:spacing w:after="0" w:line="240" w:lineRule="auto"/>
              <w:jc w:val="center"/>
              <w:rPr>
                <w:b/>
                <w:sz w:val="24"/>
                <w:szCs w:val="24"/>
              </w:rPr>
            </w:pPr>
            <w:r w:rsidRPr="00C42B44">
              <w:rPr>
                <w:b/>
                <w:sz w:val="24"/>
                <w:szCs w:val="24"/>
              </w:rPr>
              <w:t>Policy signed off by</w:t>
            </w:r>
          </w:p>
        </w:tc>
        <w:tc>
          <w:tcPr>
            <w:tcW w:w="3273" w:type="dxa"/>
            <w:shd w:val="clear" w:color="auto" w:fill="auto"/>
          </w:tcPr>
          <w:p w14:paraId="3F7800F5" w14:textId="77777777" w:rsidR="00B97EA6" w:rsidRPr="00C42B44" w:rsidRDefault="00B97EA6" w:rsidP="007D6544">
            <w:pPr>
              <w:spacing w:after="0" w:line="240" w:lineRule="auto"/>
              <w:rPr>
                <w:sz w:val="24"/>
                <w:szCs w:val="24"/>
              </w:rPr>
            </w:pPr>
            <w:r w:rsidRPr="00C42B44">
              <w:rPr>
                <w:sz w:val="24"/>
                <w:szCs w:val="24"/>
              </w:rPr>
              <w:t>Julia Low</w:t>
            </w:r>
          </w:p>
        </w:tc>
        <w:tc>
          <w:tcPr>
            <w:tcW w:w="3281" w:type="dxa"/>
            <w:shd w:val="clear" w:color="auto" w:fill="auto"/>
          </w:tcPr>
          <w:p w14:paraId="3F7800F6" w14:textId="77777777" w:rsidR="00B97EA6" w:rsidRPr="00C42B44" w:rsidRDefault="00331405" w:rsidP="007D6544">
            <w:pPr>
              <w:spacing w:after="0" w:line="240" w:lineRule="auto"/>
              <w:rPr>
                <w:sz w:val="24"/>
                <w:szCs w:val="24"/>
              </w:rPr>
            </w:pPr>
            <w:r>
              <w:rPr>
                <w:sz w:val="24"/>
                <w:szCs w:val="24"/>
              </w:rPr>
              <w:t>13.01.16</w:t>
            </w:r>
          </w:p>
        </w:tc>
      </w:tr>
      <w:tr w:rsidR="00722FEC" w:rsidRPr="00C42B44" w14:paraId="3F7800FB" w14:textId="77777777" w:rsidTr="00B97EA6">
        <w:tc>
          <w:tcPr>
            <w:tcW w:w="3300" w:type="dxa"/>
            <w:shd w:val="clear" w:color="auto" w:fill="auto"/>
          </w:tcPr>
          <w:p w14:paraId="3F7800F8" w14:textId="77777777" w:rsidR="00722FEC" w:rsidRPr="00C42B44" w:rsidRDefault="00722FEC" w:rsidP="007D6544">
            <w:pPr>
              <w:spacing w:after="0" w:line="240" w:lineRule="auto"/>
              <w:jc w:val="center"/>
              <w:rPr>
                <w:b/>
                <w:sz w:val="24"/>
                <w:szCs w:val="24"/>
              </w:rPr>
            </w:pPr>
            <w:r>
              <w:rPr>
                <w:b/>
                <w:sz w:val="24"/>
                <w:szCs w:val="24"/>
              </w:rPr>
              <w:t>Reviewed by;</w:t>
            </w:r>
          </w:p>
        </w:tc>
        <w:tc>
          <w:tcPr>
            <w:tcW w:w="3273" w:type="dxa"/>
            <w:shd w:val="clear" w:color="auto" w:fill="auto"/>
          </w:tcPr>
          <w:p w14:paraId="3F7800F9" w14:textId="6792C140" w:rsidR="00722FEC" w:rsidRPr="00C42B44" w:rsidRDefault="002A18D5" w:rsidP="007D6544">
            <w:pPr>
              <w:spacing w:after="0" w:line="240" w:lineRule="auto"/>
              <w:rPr>
                <w:sz w:val="24"/>
                <w:szCs w:val="24"/>
              </w:rPr>
            </w:pPr>
            <w:r>
              <w:rPr>
                <w:sz w:val="24"/>
                <w:szCs w:val="24"/>
              </w:rPr>
              <w:t>Tim Low</w:t>
            </w:r>
          </w:p>
        </w:tc>
        <w:tc>
          <w:tcPr>
            <w:tcW w:w="3281" w:type="dxa"/>
            <w:shd w:val="clear" w:color="auto" w:fill="auto"/>
          </w:tcPr>
          <w:p w14:paraId="3F7800FA" w14:textId="6F64B963" w:rsidR="00722FEC" w:rsidRPr="00C42B44" w:rsidRDefault="00D305D0" w:rsidP="001814C5">
            <w:pPr>
              <w:spacing w:after="0" w:line="240" w:lineRule="auto"/>
              <w:rPr>
                <w:sz w:val="24"/>
                <w:szCs w:val="24"/>
              </w:rPr>
            </w:pPr>
            <w:r>
              <w:rPr>
                <w:sz w:val="24"/>
                <w:szCs w:val="24"/>
              </w:rPr>
              <w:t>1</w:t>
            </w:r>
            <w:r w:rsidR="002A18D5">
              <w:rPr>
                <w:sz w:val="24"/>
                <w:szCs w:val="24"/>
              </w:rPr>
              <w:t>2</w:t>
            </w:r>
            <w:r>
              <w:rPr>
                <w:sz w:val="24"/>
                <w:szCs w:val="24"/>
              </w:rPr>
              <w:t>.11.202</w:t>
            </w:r>
            <w:r w:rsidR="002A18D5">
              <w:rPr>
                <w:sz w:val="24"/>
                <w:szCs w:val="24"/>
              </w:rPr>
              <w:t>1</w:t>
            </w:r>
          </w:p>
        </w:tc>
      </w:tr>
      <w:tr w:rsidR="00722FEC" w:rsidRPr="00C42B44" w14:paraId="3F7800FF" w14:textId="77777777" w:rsidTr="00722FEC">
        <w:trPr>
          <w:trHeight w:val="396"/>
        </w:trPr>
        <w:tc>
          <w:tcPr>
            <w:tcW w:w="3300" w:type="dxa"/>
            <w:shd w:val="clear" w:color="auto" w:fill="auto"/>
          </w:tcPr>
          <w:p w14:paraId="3F7800FC" w14:textId="77777777" w:rsidR="00722FEC" w:rsidRPr="00C42B44" w:rsidRDefault="00722FEC" w:rsidP="007D6544">
            <w:pPr>
              <w:spacing w:after="0" w:line="240" w:lineRule="auto"/>
              <w:jc w:val="center"/>
              <w:rPr>
                <w:b/>
                <w:sz w:val="24"/>
                <w:szCs w:val="24"/>
              </w:rPr>
            </w:pPr>
            <w:r w:rsidRPr="00C42B44">
              <w:rPr>
                <w:b/>
                <w:sz w:val="24"/>
                <w:szCs w:val="24"/>
              </w:rPr>
              <w:t>Next Review By</w:t>
            </w:r>
          </w:p>
        </w:tc>
        <w:tc>
          <w:tcPr>
            <w:tcW w:w="3273" w:type="dxa"/>
            <w:shd w:val="clear" w:color="auto" w:fill="auto"/>
          </w:tcPr>
          <w:p w14:paraId="3F7800FD" w14:textId="77777777" w:rsidR="00722FEC" w:rsidRPr="00C42B44" w:rsidRDefault="00722FEC" w:rsidP="007D6544">
            <w:pPr>
              <w:spacing w:after="0" w:line="240" w:lineRule="auto"/>
              <w:rPr>
                <w:sz w:val="24"/>
                <w:szCs w:val="24"/>
              </w:rPr>
            </w:pPr>
            <w:r w:rsidRPr="00C42B44">
              <w:rPr>
                <w:sz w:val="24"/>
                <w:szCs w:val="24"/>
              </w:rPr>
              <w:t>Julia Low</w:t>
            </w:r>
          </w:p>
        </w:tc>
        <w:tc>
          <w:tcPr>
            <w:tcW w:w="3281" w:type="dxa"/>
            <w:shd w:val="clear" w:color="auto" w:fill="auto"/>
          </w:tcPr>
          <w:p w14:paraId="3F7800FE" w14:textId="6ADE58FF" w:rsidR="00722FEC" w:rsidRPr="00C42B44" w:rsidRDefault="003C7D0F" w:rsidP="001814C5">
            <w:pPr>
              <w:spacing w:after="0" w:line="240" w:lineRule="auto"/>
              <w:rPr>
                <w:sz w:val="24"/>
                <w:szCs w:val="24"/>
              </w:rPr>
            </w:pPr>
            <w:r>
              <w:rPr>
                <w:sz w:val="24"/>
                <w:szCs w:val="24"/>
              </w:rPr>
              <w:t>31.10</w:t>
            </w:r>
            <w:r w:rsidR="00722FEC">
              <w:rPr>
                <w:sz w:val="24"/>
                <w:szCs w:val="24"/>
              </w:rPr>
              <w:t>.</w:t>
            </w:r>
            <w:r w:rsidR="007D6544">
              <w:rPr>
                <w:sz w:val="24"/>
                <w:szCs w:val="24"/>
              </w:rPr>
              <w:t>20</w:t>
            </w:r>
            <w:r w:rsidR="001814C5">
              <w:rPr>
                <w:sz w:val="24"/>
                <w:szCs w:val="24"/>
              </w:rPr>
              <w:t>2</w:t>
            </w:r>
            <w:r w:rsidR="002A18D5">
              <w:rPr>
                <w:sz w:val="24"/>
                <w:szCs w:val="24"/>
              </w:rPr>
              <w:t>2</w:t>
            </w:r>
          </w:p>
        </w:tc>
      </w:tr>
    </w:tbl>
    <w:p w14:paraId="3F780100" w14:textId="77777777" w:rsidR="00B97EA6" w:rsidRPr="0075311B" w:rsidRDefault="00B97EA6">
      <w:pPr>
        <w:rPr>
          <w:rFonts w:ascii="Arial" w:hAnsi="Arial"/>
          <w:sz w:val="16"/>
          <w:szCs w:val="16"/>
        </w:rPr>
      </w:pPr>
    </w:p>
    <w:sectPr w:rsidR="00B97EA6"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78E0" w14:textId="77777777" w:rsidR="00D407E7" w:rsidRDefault="00D407E7" w:rsidP="008829D6">
      <w:r>
        <w:separator/>
      </w:r>
    </w:p>
  </w:endnote>
  <w:endnote w:type="continuationSeparator" w:id="0">
    <w:p w14:paraId="38259AC1" w14:textId="77777777" w:rsidR="00D407E7" w:rsidRDefault="00D407E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3 Light">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109" w14:textId="77777777"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3F78010A"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10B" w14:textId="77777777"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3C7D0F">
      <w:rPr>
        <w:rStyle w:val="PageNumber"/>
        <w:noProof/>
      </w:rPr>
      <w:t>1</w:t>
    </w:r>
    <w:r>
      <w:rPr>
        <w:rStyle w:val="PageNumber"/>
      </w:rPr>
      <w:fldChar w:fldCharType="end"/>
    </w:r>
  </w:p>
  <w:p w14:paraId="3F78010C" w14:textId="77777777" w:rsidR="00A94812" w:rsidRDefault="00A94812" w:rsidP="008829D6">
    <w:pPr>
      <w:ind w:right="360"/>
    </w:pPr>
    <w:r>
      <w:t xml:space="preserve">76 </w:t>
    </w:r>
    <w:proofErr w:type="spellStart"/>
    <w:r>
      <w:t>Freelands</w:t>
    </w:r>
    <w:proofErr w:type="spellEnd"/>
    <w:r>
      <w:t xml:space="preserve"> Road, Bromley, Kent, BR1 3HY</w:t>
    </w:r>
  </w:p>
  <w:p w14:paraId="3F78010D"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9B09" w14:textId="77777777" w:rsidR="00D407E7" w:rsidRDefault="00D407E7" w:rsidP="008829D6">
      <w:r>
        <w:separator/>
      </w:r>
    </w:p>
  </w:footnote>
  <w:footnote w:type="continuationSeparator" w:id="0">
    <w:p w14:paraId="06430915" w14:textId="77777777" w:rsidR="00D407E7" w:rsidRDefault="00D407E7"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105"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F780106"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107" w14:textId="77777777" w:rsidR="00F2033F" w:rsidRDefault="00316690"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3F78010E" wp14:editId="3F78010F">
          <wp:simplePos x="0" y="0"/>
          <wp:positionH relativeFrom="column">
            <wp:posOffset>5829300</wp:posOffset>
          </wp:positionH>
          <wp:positionV relativeFrom="paragraph">
            <wp:posOffset>114935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80108" w14:textId="68C5600C" w:rsidR="00A94812" w:rsidRPr="008A4A08" w:rsidRDefault="00B97EA6" w:rsidP="00F2033F">
    <w:pPr>
      <w:rPr>
        <w:rFonts w:ascii="Times" w:hAnsi="Times"/>
      </w:rPr>
    </w:pPr>
    <w:r>
      <w:rPr>
        <w:rFonts w:ascii="Times" w:hAnsi="Times"/>
      </w:rPr>
      <w:t>Major Incident Procedure</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proofErr w:type="gramStart"/>
    <w:r w:rsidR="00A94812"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AA6BA5">
      <w:rPr>
        <w:rFonts w:ascii="Times" w:hAnsi="Times"/>
      </w:rPr>
      <w:t>November 202</w:t>
    </w:r>
    <w:r w:rsidR="002A18D5">
      <w:rPr>
        <w:rFonts w:ascii="Times" w:hAnsi="Times"/>
      </w:rPr>
      <w:t>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F0F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13CC1"/>
    <w:multiLevelType w:val="hybridMultilevel"/>
    <w:tmpl w:val="176E5280"/>
    <w:lvl w:ilvl="0" w:tplc="08090001">
      <w:start w:val="1"/>
      <w:numFmt w:val="bullet"/>
      <w:lvlText w:val=""/>
      <w:lvlJc w:val="left"/>
      <w:pPr>
        <w:ind w:left="940" w:hanging="360"/>
      </w:pPr>
      <w:rPr>
        <w:rFonts w:ascii="Symbol" w:hAnsi="Symbol" w:cs="Symbol" w:hint="default"/>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cs="Wingdings" w:hint="default"/>
      </w:rPr>
    </w:lvl>
    <w:lvl w:ilvl="3" w:tplc="08090001">
      <w:start w:val="1"/>
      <w:numFmt w:val="bullet"/>
      <w:lvlText w:val=""/>
      <w:lvlJc w:val="left"/>
      <w:pPr>
        <w:ind w:left="3100" w:hanging="360"/>
      </w:pPr>
      <w:rPr>
        <w:rFonts w:ascii="Symbol" w:hAnsi="Symbol" w:cs="Symbol" w:hint="default"/>
      </w:rPr>
    </w:lvl>
    <w:lvl w:ilvl="4" w:tplc="08090003">
      <w:start w:val="1"/>
      <w:numFmt w:val="bullet"/>
      <w:lvlText w:val="o"/>
      <w:lvlJc w:val="left"/>
      <w:pPr>
        <w:ind w:left="3820" w:hanging="360"/>
      </w:pPr>
      <w:rPr>
        <w:rFonts w:ascii="Courier New" w:hAnsi="Courier New" w:cs="Courier New" w:hint="default"/>
      </w:rPr>
    </w:lvl>
    <w:lvl w:ilvl="5" w:tplc="08090005">
      <w:start w:val="1"/>
      <w:numFmt w:val="bullet"/>
      <w:lvlText w:val=""/>
      <w:lvlJc w:val="left"/>
      <w:pPr>
        <w:ind w:left="4540" w:hanging="360"/>
      </w:pPr>
      <w:rPr>
        <w:rFonts w:ascii="Wingdings" w:hAnsi="Wingdings" w:cs="Wingdings" w:hint="default"/>
      </w:rPr>
    </w:lvl>
    <w:lvl w:ilvl="6" w:tplc="08090001">
      <w:start w:val="1"/>
      <w:numFmt w:val="bullet"/>
      <w:lvlText w:val=""/>
      <w:lvlJc w:val="left"/>
      <w:pPr>
        <w:ind w:left="5260" w:hanging="360"/>
      </w:pPr>
      <w:rPr>
        <w:rFonts w:ascii="Symbol" w:hAnsi="Symbol" w:cs="Symbol" w:hint="default"/>
      </w:rPr>
    </w:lvl>
    <w:lvl w:ilvl="7" w:tplc="08090003">
      <w:start w:val="1"/>
      <w:numFmt w:val="bullet"/>
      <w:lvlText w:val="o"/>
      <w:lvlJc w:val="left"/>
      <w:pPr>
        <w:ind w:left="5980" w:hanging="360"/>
      </w:pPr>
      <w:rPr>
        <w:rFonts w:ascii="Courier New" w:hAnsi="Courier New" w:cs="Courier New" w:hint="default"/>
      </w:rPr>
    </w:lvl>
    <w:lvl w:ilvl="8" w:tplc="08090005">
      <w:start w:val="1"/>
      <w:numFmt w:val="bullet"/>
      <w:lvlText w:val=""/>
      <w:lvlJc w:val="left"/>
      <w:pPr>
        <w:ind w:left="670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0D1944"/>
    <w:rsid w:val="001814C5"/>
    <w:rsid w:val="001D6956"/>
    <w:rsid w:val="002A18D5"/>
    <w:rsid w:val="00316690"/>
    <w:rsid w:val="00331405"/>
    <w:rsid w:val="003C7D0F"/>
    <w:rsid w:val="005A79A9"/>
    <w:rsid w:val="00630A2B"/>
    <w:rsid w:val="00641AEF"/>
    <w:rsid w:val="00651876"/>
    <w:rsid w:val="00722FEC"/>
    <w:rsid w:val="0075311B"/>
    <w:rsid w:val="007D6544"/>
    <w:rsid w:val="00801D3A"/>
    <w:rsid w:val="008202BE"/>
    <w:rsid w:val="00821267"/>
    <w:rsid w:val="008221B5"/>
    <w:rsid w:val="00826DA8"/>
    <w:rsid w:val="008829D6"/>
    <w:rsid w:val="008A4A08"/>
    <w:rsid w:val="008B542D"/>
    <w:rsid w:val="009A3DDF"/>
    <w:rsid w:val="009E5227"/>
    <w:rsid w:val="00A23694"/>
    <w:rsid w:val="00A56769"/>
    <w:rsid w:val="00A94812"/>
    <w:rsid w:val="00AA6BA5"/>
    <w:rsid w:val="00AE6D69"/>
    <w:rsid w:val="00B97EA6"/>
    <w:rsid w:val="00D12B53"/>
    <w:rsid w:val="00D305D0"/>
    <w:rsid w:val="00D407E7"/>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7800CF"/>
  <w15:docId w15:val="{E0B4A31F-03F2-4CBA-8A7E-6CB5AEAB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EA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uiPriority w:val="99"/>
    <w:rsid w:val="00B97EA6"/>
    <w:pPr>
      <w:autoSpaceDE w:val="0"/>
      <w:autoSpaceDN w:val="0"/>
      <w:adjustRightInd w:val="0"/>
    </w:pPr>
    <w:rPr>
      <w:rFonts w:ascii="TheSans B3 Light" w:eastAsia="Calibri" w:hAnsi="TheSans B3 Light" w:cs="TheSans B3 Light"/>
      <w:color w:val="000000"/>
      <w:sz w:val="24"/>
      <w:szCs w:val="24"/>
    </w:rPr>
  </w:style>
  <w:style w:type="paragraph" w:customStyle="1" w:styleId="Pa4">
    <w:name w:val="Pa4"/>
    <w:basedOn w:val="Default"/>
    <w:next w:val="Default"/>
    <w:uiPriority w:val="99"/>
    <w:rsid w:val="00B97EA6"/>
    <w:pPr>
      <w:spacing w:line="281" w:lineRule="atLeast"/>
    </w:pPr>
    <w:rPr>
      <w:color w:val="auto"/>
    </w:rPr>
  </w:style>
  <w:style w:type="paragraph" w:customStyle="1" w:styleId="Pa5">
    <w:name w:val="Pa5"/>
    <w:basedOn w:val="Default"/>
    <w:next w:val="Default"/>
    <w:uiPriority w:val="99"/>
    <w:rsid w:val="00B97EA6"/>
    <w:pPr>
      <w:spacing w:line="201" w:lineRule="atLeast"/>
    </w:pPr>
    <w:rPr>
      <w:color w:val="auto"/>
    </w:rPr>
  </w:style>
  <w:style w:type="paragraph" w:customStyle="1" w:styleId="Pa6">
    <w:name w:val="Pa6"/>
    <w:basedOn w:val="Default"/>
    <w:next w:val="Default"/>
    <w:uiPriority w:val="99"/>
    <w:rsid w:val="00B97EA6"/>
    <w:pPr>
      <w:spacing w:line="201" w:lineRule="atLeast"/>
    </w:pPr>
    <w:rPr>
      <w:color w:val="auto"/>
    </w:rPr>
  </w:style>
  <w:style w:type="character" w:customStyle="1" w:styleId="A5">
    <w:name w:val="A5"/>
    <w:uiPriority w:val="99"/>
    <w:rsid w:val="00B97EA6"/>
    <w:rPr>
      <w:color w:val="000000"/>
    </w:rPr>
  </w:style>
  <w:style w:type="paragraph" w:customStyle="1" w:styleId="Pa7">
    <w:name w:val="Pa7"/>
    <w:basedOn w:val="Default"/>
    <w:next w:val="Default"/>
    <w:uiPriority w:val="99"/>
    <w:rsid w:val="00B97EA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912CF-609F-4284-BE2B-40373D83E249}">
  <ds:schemaRefs>
    <ds:schemaRef ds:uri="http://schemas.openxmlformats.org/officeDocument/2006/bibliography"/>
  </ds:schemaRefs>
</ds:datastoreItem>
</file>

<file path=customXml/itemProps2.xml><?xml version="1.0" encoding="utf-8"?>
<ds:datastoreItem xmlns:ds="http://schemas.openxmlformats.org/officeDocument/2006/customXml" ds:itemID="{1F20FD19-86D4-46EA-9DDA-A525BF753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2860D-47A0-4A60-90B3-2A76E988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2691-7861-4B96-98E0-0C7F970DB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2</cp:revision>
  <cp:lastPrinted>2012-06-19T12:04:00Z</cp:lastPrinted>
  <dcterms:created xsi:type="dcterms:W3CDTF">2021-11-12T17:22:00Z</dcterms:created>
  <dcterms:modified xsi:type="dcterms:W3CDTF">2021-11-12T17:22:00Z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1070800</vt:r8>
  </property>
</Properties>
</file>